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C5" w:rsidRDefault="007B18E0" w:rsidP="00AC6592">
      <w:pPr>
        <w:rPr>
          <w:rFonts w:ascii="Arial" w:hAnsi="Arial" w:cs="Arial"/>
        </w:rPr>
      </w:pPr>
      <w:r w:rsidRPr="009859C5">
        <w:rPr>
          <w:rFonts w:ascii="Arial" w:hAnsi="Arial" w:cs="Arial"/>
          <w:noProof/>
          <w:lang w:val="en-GB" w:eastAsia="en-GB"/>
        </w:rPr>
        <mc:AlternateContent>
          <mc:Choice Requires="wps">
            <w:drawing>
              <wp:anchor distT="45720" distB="45720" distL="114300" distR="114300" simplePos="0" relativeHeight="251706368" behindDoc="0" locked="0" layoutInCell="1" allowOverlap="1">
                <wp:simplePos x="0" y="0"/>
                <wp:positionH relativeFrom="column">
                  <wp:posOffset>-316230</wp:posOffset>
                </wp:positionH>
                <wp:positionV relativeFrom="paragraph">
                  <wp:posOffset>-266700</wp:posOffset>
                </wp:positionV>
                <wp:extent cx="3267075" cy="942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42975"/>
                        </a:xfrm>
                        <a:prstGeom prst="rect">
                          <a:avLst/>
                        </a:prstGeom>
                        <a:noFill/>
                        <a:ln w="9525">
                          <a:noFill/>
                          <a:miter lim="800000"/>
                          <a:headEnd/>
                          <a:tailEnd/>
                        </a:ln>
                      </wps:spPr>
                      <wps:txbx>
                        <w:txbxContent>
                          <w:p w:rsidR="009859C5" w:rsidRPr="007B18E0" w:rsidRDefault="007B18E0">
                            <w:pPr>
                              <w:rPr>
                                <w:b/>
                                <w:color w:val="FFFFFF" w:themeColor="background1"/>
                                <w:sz w:val="48"/>
                                <w:szCs w:val="48"/>
                                <w:lang w:val="en-US"/>
                              </w:rPr>
                            </w:pPr>
                            <w:r w:rsidRPr="007B18E0">
                              <w:rPr>
                                <w:b/>
                                <w:color w:val="FFFFFF" w:themeColor="background1"/>
                                <w:sz w:val="48"/>
                                <w:szCs w:val="48"/>
                                <w:lang w:val="en-US"/>
                              </w:rPr>
                              <w:t>Market Wrap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21pt;width:257.25pt;height:74.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" filled="f" stroked="f">
                <v:textbox>
                  <w:txbxContent>
                    <w:p w:rsidR="009859C5" w:rsidRPr="007B18E0" w:rsidRDefault="007B18E0">
                      <w:pPr>
                        <w:rPr>
                          <w:b/>
                          <w:color w:val="FFFFFF" w:themeColor="background1"/>
                          <w:sz w:val="48"/>
                          <w:szCs w:val="48"/>
                          <w:lang w:val="en-US"/>
                        </w:rPr>
                      </w:pPr>
                      <w:r w:rsidRPr="007B18E0">
                        <w:rPr>
                          <w:b/>
                          <w:color w:val="FFFFFF" w:themeColor="background1"/>
                          <w:sz w:val="48"/>
                          <w:szCs w:val="48"/>
                          <w:lang w:val="en-US"/>
                        </w:rPr>
                        <w:t>Market Wrap</w:t>
                      </w:r>
                    </w:p>
                  </w:txbxContent>
                </v:textbox>
              </v:shape>
            </w:pict>
          </mc:Fallback>
        </mc:AlternateContent>
      </w:r>
      <w:r w:rsidR="009859C5">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-630555</wp:posOffset>
                </wp:positionH>
                <wp:positionV relativeFrom="paragraph">
                  <wp:posOffset>-944880</wp:posOffset>
                </wp:positionV>
                <wp:extent cx="7648575" cy="1762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648575" cy="17621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E4DD95" id="Rectangle 3" o:spid="_x0000_s1026" style="position:absolute;margin-left:-49.65pt;margin-top:-74.4pt;width:602.25pt;height:138.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" fillcolor="#305581 [2148]" stroked="f">
                <v:fill color2="#95b3d7 [1940]" rotate="t" angle="180" colors="0 #315683;31457f #5485bf;1 #95b3d7" focus="100%" type="gradient"/>
              </v:rect>
            </w:pict>
          </mc:Fallback>
        </mc:AlternateContent>
      </w:r>
      <w:r w:rsidR="009859C5">
        <w:rPr>
          <w:noProof/>
          <w:lang w:val="en-GB" w:eastAsia="en-GB"/>
        </w:rPr>
        <w:drawing>
          <wp:anchor distT="0" distB="0" distL="114300" distR="114300" simplePos="0" relativeHeight="251676672" behindDoc="0" locked="0" layoutInCell="1" allowOverlap="1">
            <wp:simplePos x="0" y="0"/>
            <wp:positionH relativeFrom="column">
              <wp:posOffset>5732145</wp:posOffset>
            </wp:positionH>
            <wp:positionV relativeFrom="paragraph">
              <wp:posOffset>-700405</wp:posOffset>
            </wp:positionV>
            <wp:extent cx="895350" cy="1180948"/>
            <wp:effectExtent l="19050" t="0" r="19050" b="362585"/>
            <wp:wrapNone/>
            <wp:docPr id="1" name="Picture 1" descr="C:\Users\reception\AppData\Local\Microsoft\Windows\INetCache\Content.Word\SDLW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INetCache\Content.Word\SDLW_Logo_c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809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859C5">
        <w:rPr>
          <w:noProof/>
          <w:lang w:val="en-GB" w:eastAsia="en-GB"/>
        </w:rPr>
        <w:drawing>
          <wp:anchor distT="0" distB="0" distL="114300" distR="114300" simplePos="0" relativeHeight="251700224" behindDoc="0" locked="0" layoutInCell="1" allowOverlap="1">
            <wp:simplePos x="0" y="0"/>
            <wp:positionH relativeFrom="column">
              <wp:posOffset>4703445</wp:posOffset>
            </wp:positionH>
            <wp:positionV relativeFrom="paragraph">
              <wp:posOffset>-706755</wp:posOffset>
            </wp:positionV>
            <wp:extent cx="904240" cy="1181100"/>
            <wp:effectExtent l="19050" t="0" r="10160" b="361950"/>
            <wp:wrapNone/>
            <wp:docPr id="2" name="Picture 2" descr="C:\Users\reception\AppData\Local\Microsoft\Windows\INetCache\Content.Word\SDGO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tion\AppData\Local\Microsoft\Windows\INetCache\Content.Word\SDGOC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1181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859C5" w:rsidRDefault="009859C5" w:rsidP="00AC6592">
      <w:pPr>
        <w:rPr>
          <w:rFonts w:ascii="Arial" w:hAnsi="Arial" w:cs="Arial"/>
        </w:rPr>
      </w:pPr>
      <w:r w:rsidRPr="009859C5">
        <w:rPr>
          <w:rFonts w:ascii="Verdana" w:eastAsia="Times New Roman" w:hAnsi="Verdana" w:cs="Times New Roman"/>
          <w:bCs/>
          <w:noProof/>
          <w:sz w:val="18"/>
          <w:szCs w:val="18"/>
          <w:lang w:val="en-GB" w:eastAsia="en-GB"/>
        </w:rPr>
        <mc:AlternateContent>
          <mc:Choice Requires="wps">
            <w:drawing>
              <wp:anchor distT="45720" distB="45720" distL="114300" distR="114300" simplePos="0" relativeHeight="251705344" behindDoc="1" locked="0" layoutInCell="1" allowOverlap="1">
                <wp:simplePos x="0" y="0"/>
                <wp:positionH relativeFrom="column">
                  <wp:posOffset>-1905</wp:posOffset>
                </wp:positionH>
                <wp:positionV relativeFrom="paragraph">
                  <wp:posOffset>5715</wp:posOffset>
                </wp:positionV>
                <wp:extent cx="2360930" cy="1404620"/>
                <wp:effectExtent l="0" t="0" r="1524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859C5" w:rsidRPr="009859C5" w:rsidRDefault="009859C5">
                            <w:pPr>
                              <w:rPr>
                                <w:lang w:val="en-US"/>
                              </w:rPr>
                            </w:pPr>
                            <w:r>
                              <w:rPr>
                                <w:lang w:val="en-US"/>
                              </w:rPr>
                              <w:t xml:space="preserve">Market Wrap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5pt;margin-top:.45pt;width:185.9pt;height:110.6pt;z-index:-251611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">
                <v:textbox style="mso-fit-shape-to-text:t">
                  <w:txbxContent>
                    <w:p w:rsidR="009859C5" w:rsidRPr="009859C5" w:rsidRDefault="009859C5">
                      <w:pPr>
                        <w:rPr>
                          <w:lang w:val="en-US"/>
                        </w:rPr>
                      </w:pPr>
                      <w:r>
                        <w:rPr>
                          <w:lang w:val="en-US"/>
                        </w:rPr>
                        <w:t xml:space="preserve">Market Wrap </w:t>
                      </w:r>
                    </w:p>
                  </w:txbxContent>
                </v:textbox>
              </v:shape>
            </w:pict>
          </mc:Fallback>
        </mc:AlternateContent>
      </w:r>
    </w:p>
    <w:p w:rsidR="009859C5" w:rsidRDefault="009859C5" w:rsidP="00AC6592">
      <w:pPr>
        <w:rPr>
          <w:rFonts w:ascii="Arial" w:hAnsi="Arial" w:cs="Arial"/>
        </w:rPr>
      </w:pPr>
    </w:p>
    <w:p w:rsidR="009859C5" w:rsidRDefault="009859C5" w:rsidP="00AC6592">
      <w:pPr>
        <w:rPr>
          <w:rFonts w:ascii="Arial" w:hAnsi="Arial" w:cs="Arial"/>
        </w:rPr>
      </w:pPr>
    </w:p>
    <w:p w:rsidR="009859C5" w:rsidRDefault="009859C5" w:rsidP="00AC6592">
      <w:pPr>
        <w:rPr>
          <w:rFonts w:ascii="Arial" w:hAnsi="Arial" w:cs="Arial"/>
        </w:rPr>
      </w:pPr>
    </w:p>
    <w:p w:rsidR="009859C5" w:rsidRDefault="009859C5" w:rsidP="00AC6592">
      <w:pPr>
        <w:rPr>
          <w:rFonts w:ascii="Arial" w:hAnsi="Arial" w:cs="Arial"/>
        </w:rPr>
      </w:pPr>
    </w:p>
    <w:p w:rsidR="009859C5" w:rsidRDefault="009859C5" w:rsidP="00AC6592">
      <w:pPr>
        <w:rPr>
          <w:rFonts w:ascii="Arial" w:hAnsi="Arial" w:cs="Arial"/>
        </w:rPr>
      </w:pPr>
    </w:p>
    <w:p w:rsidR="00063463" w:rsidRPr="003F060C" w:rsidRDefault="003F060C" w:rsidP="00AC6592">
      <w:pPr>
        <w:rPr>
          <w:rFonts w:ascii="Arial" w:hAnsi="Arial" w:cs="Arial"/>
        </w:rPr>
      </w:pPr>
      <w:r w:rsidRPr="003F060C">
        <w:rPr>
          <w:rFonts w:ascii="Arial" w:hAnsi="Arial" w:cs="Arial"/>
          <w:noProof/>
          <w:lang w:val="en-GB" w:eastAsia="en-GB"/>
        </w:rPr>
        <mc:AlternateContent>
          <mc:Choice Requires="wps">
            <w:drawing>
              <wp:anchor distT="0" distB="0" distL="114300" distR="114300" simplePos="0" relativeHeight="251627520" behindDoc="0" locked="0" layoutInCell="1" allowOverlap="1" wp14:anchorId="20F7FD50" wp14:editId="64BDAEAB">
                <wp:simplePos x="0" y="0"/>
                <wp:positionH relativeFrom="column">
                  <wp:posOffset>5034915</wp:posOffset>
                </wp:positionH>
                <wp:positionV relativeFrom="paragraph">
                  <wp:posOffset>557530</wp:posOffset>
                </wp:positionV>
                <wp:extent cx="1485900" cy="228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D0953" w:rsidRPr="00AC6592" w:rsidRDefault="003C7107" w:rsidP="003F060C">
                            <w:pPr>
                              <w:jc w:val="right"/>
                              <w:rPr>
                                <w:rFonts w:ascii="Verdana" w:hAnsi="Verdana"/>
                                <w:color w:val="FFFFFF" w:themeColor="background1"/>
                                <w:sz w:val="16"/>
                                <w:szCs w:val="16"/>
                              </w:rPr>
                            </w:pPr>
                            <w:r>
                              <w:rPr>
                                <w:rFonts w:ascii="Verdana" w:hAnsi="Verdana"/>
                                <w:color w:val="FFFFFF" w:themeColor="background1"/>
                                <w:sz w:val="16"/>
                                <w:szCs w:val="16"/>
                              </w:rPr>
                              <w:t>APRIL</w:t>
                            </w:r>
                            <w:r w:rsidR="003F060C">
                              <w:rPr>
                                <w:rFonts w:ascii="Verdana" w:hAnsi="Verdana"/>
                                <w:color w:val="FFFFFF" w:themeColor="background1"/>
                                <w:sz w:val="16"/>
                                <w:szCs w:val="16"/>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7FD50" id="Text Box 20" o:spid="_x0000_s1028" type="#_x0000_t202" style="position:absolute;margin-left:396.45pt;margin-top:43.9pt;width:117pt;height:1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" filled="f" stroked="f">
                <v:textbox>
                  <w:txbxContent>
                    <w:p w:rsidR="009D0953" w:rsidRPr="00AC6592" w:rsidRDefault="003C7107" w:rsidP="003F060C">
                      <w:pPr>
                        <w:jc w:val="right"/>
                        <w:rPr>
                          <w:rFonts w:ascii="Verdana" w:hAnsi="Verdana"/>
                          <w:color w:val="FFFFFF" w:themeColor="background1"/>
                          <w:sz w:val="16"/>
                          <w:szCs w:val="16"/>
                        </w:rPr>
                      </w:pPr>
                      <w:r>
                        <w:rPr>
                          <w:rFonts w:ascii="Verdana" w:hAnsi="Verdana"/>
                          <w:color w:val="FFFFFF" w:themeColor="background1"/>
                          <w:sz w:val="16"/>
                          <w:szCs w:val="16"/>
                        </w:rPr>
                        <w:t>APRIL</w:t>
                      </w:r>
                      <w:r w:rsidR="003F060C">
                        <w:rPr>
                          <w:rFonts w:ascii="Verdana" w:hAnsi="Verdana"/>
                          <w:color w:val="FFFFFF" w:themeColor="background1"/>
                          <w:sz w:val="16"/>
                          <w:szCs w:val="16"/>
                        </w:rPr>
                        <w:t xml:space="preserve"> 2017</w:t>
                      </w:r>
                    </w:p>
                  </w:txbxContent>
                </v:textbox>
                <w10:wrap type="square"/>
              </v:shape>
            </w:pict>
          </mc:Fallback>
        </mc:AlternateContent>
      </w:r>
    </w:p>
    <w:p w:rsidR="00AC6592" w:rsidRPr="003F060C" w:rsidRDefault="00AC6592" w:rsidP="00AC6592">
      <w:pPr>
        <w:rPr>
          <w:rFonts w:ascii="Arial" w:hAnsi="Arial" w:cs="Arial"/>
        </w:rPr>
        <w:sectPr w:rsidR="00AC6592" w:rsidRPr="003F060C" w:rsidSect="003F060C">
          <w:footerReference w:type="default" r:id="rId10"/>
          <w:pgSz w:w="11900" w:h="16840"/>
          <w:pgMar w:top="1440" w:right="843" w:bottom="1440" w:left="993" w:header="0" w:footer="0" w:gutter="0"/>
          <w:cols w:space="708"/>
          <w:docGrid w:linePitch="360"/>
        </w:sectPr>
      </w:pPr>
    </w:p>
    <w:p w:rsidR="00FC4F62" w:rsidRPr="00EC03BE" w:rsidRDefault="003C7107" w:rsidP="00FC4F62">
      <w:pPr>
        <w:pStyle w:val="IntroHeading"/>
        <w:spacing w:line="240" w:lineRule="auto"/>
        <w:rPr>
          <w:rFonts w:ascii="Arial" w:hAnsi="Arial" w:cs="Arial"/>
          <w:color w:val="FF0000"/>
          <w:sz w:val="28"/>
          <w:szCs w:val="28"/>
        </w:rPr>
      </w:pPr>
      <w:r w:rsidRPr="00EC03BE">
        <w:rPr>
          <w:rFonts w:ascii="Arial" w:hAnsi="Arial" w:cs="Arial"/>
          <w:color w:val="FF0000"/>
          <w:sz w:val="28"/>
          <w:szCs w:val="28"/>
        </w:rPr>
        <w:t>Reflating away</w:t>
      </w:r>
      <w:r w:rsidR="00761760" w:rsidRPr="00EC03BE">
        <w:rPr>
          <w:rFonts w:ascii="Arial" w:hAnsi="Arial" w:cs="Arial"/>
          <w:color w:val="FF0000"/>
          <w:sz w:val="28"/>
          <w:szCs w:val="28"/>
        </w:rPr>
        <w:t xml:space="preserve"> </w:t>
      </w:r>
    </w:p>
    <w:p w:rsidR="003C7107"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Share markets continued to benefit from the global synchronised recovery in growth and corporate earnings.  </w:t>
      </w:r>
    </w:p>
    <w:p w:rsidR="003C7107"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Bond yields fell following some slowing in economic momentum as lead indicators consolidate. </w:t>
      </w:r>
    </w:p>
    <w:p w:rsidR="003C7107"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The US Federal Reserve raised interest rates by </w:t>
      </w:r>
    </w:p>
    <w:p w:rsidR="003C7107"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25 basis points but remains cautious on the growth outlook. </w:t>
      </w:r>
    </w:p>
    <w:p w:rsidR="003C7107"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The US dollar gained slightly against major cross rates along with the yen while the Australian dollar fell as commodity prices declined. </w:t>
      </w:r>
    </w:p>
    <w:p w:rsidR="003C7107"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Emerging market shares and bonds continued to perform well as investment flows return to long- run average levels. The decline in energy and commodity prices has raised some questions regarding the durability of th</w:t>
      </w:r>
      <w:bookmarkStart w:id="0" w:name="_GoBack"/>
      <w:bookmarkEnd w:id="0"/>
      <w:r w:rsidRPr="003C7107">
        <w:rPr>
          <w:rFonts w:ascii="Verdana" w:eastAsia="Times New Roman" w:hAnsi="Verdana" w:cs="Times New Roman"/>
          <w:bCs w:val="0"/>
          <w:color w:val="auto"/>
          <w:sz w:val="18"/>
          <w:szCs w:val="18"/>
        </w:rPr>
        <w:t xml:space="preserve">e reflation trade.    </w:t>
      </w:r>
    </w:p>
    <w:p w:rsid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In China, authorities remain committed to growth and supply side reform after the meeting of the National People’s Congress. Industrial activity and stronger construction should carry growth comfortably above the government’s target of </w:t>
      </w:r>
      <w:r>
        <w:rPr>
          <w:rFonts w:ascii="Verdana" w:eastAsia="Times New Roman" w:hAnsi="Verdana" w:cs="Times New Roman"/>
          <w:bCs w:val="0"/>
          <w:color w:val="auto"/>
          <w:sz w:val="18"/>
          <w:szCs w:val="18"/>
        </w:rPr>
        <w:t>6.5% in the first half of 2017.</w:t>
      </w:r>
    </w:p>
    <w:p w:rsidR="0049476E" w:rsidRPr="003C7107" w:rsidRDefault="003C7107" w:rsidP="003C7107">
      <w:pPr>
        <w:pStyle w:val="IntroHeading"/>
        <w:numPr>
          <w:ilvl w:val="0"/>
          <w:numId w:val="16"/>
        </w:numPr>
        <w:ind w:left="426" w:hanging="284"/>
        <w:rPr>
          <w:rFonts w:ascii="Verdana" w:eastAsia="Times New Roman" w:hAnsi="Verdana" w:cs="Times New Roman"/>
          <w:bCs w:val="0"/>
          <w:color w:val="auto"/>
          <w:sz w:val="18"/>
          <w:szCs w:val="18"/>
        </w:rPr>
      </w:pPr>
      <w:r w:rsidRPr="003C7107">
        <w:rPr>
          <w:rFonts w:ascii="Verdana" w:eastAsia="Times New Roman" w:hAnsi="Verdana" w:cs="Times New Roman"/>
          <w:bCs w:val="0"/>
          <w:color w:val="auto"/>
          <w:sz w:val="18"/>
          <w:szCs w:val="18"/>
        </w:rPr>
        <w:t xml:space="preserve">Australian economic indicators are generally supportive of growth although employment remains soft given the sharp rise in the unemployment rate to 5.9% from 5.7% and wages remain tepid. The property market remains a standout and a concern for policy makers as capital city price growth reflects strong investor demand. </w:t>
      </w:r>
      <w:r w:rsidR="007D7618" w:rsidRPr="003C7107">
        <w:rPr>
          <w:rFonts w:ascii="Arial" w:hAnsi="Arial" w:cs="Arial"/>
          <w:sz w:val="24"/>
        </w:rPr>
        <w:br w:type="column"/>
      </w:r>
      <w:r w:rsidR="0049476E" w:rsidRPr="00EC03BE">
        <w:rPr>
          <w:rFonts w:ascii="Arial" w:hAnsi="Arial" w:cs="Arial"/>
          <w:color w:val="FF0000"/>
          <w:sz w:val="28"/>
          <w:szCs w:val="28"/>
        </w:rPr>
        <w:t>Major asset class performance (%)</w:t>
      </w:r>
    </w:p>
    <w:p w:rsidR="00761760" w:rsidRPr="003F060C" w:rsidRDefault="00761760" w:rsidP="003F060C">
      <w:pPr>
        <w:pStyle w:val="IntroHeading"/>
        <w:spacing w:line="240" w:lineRule="auto"/>
        <w:rPr>
          <w:rFonts w:ascii="Arial" w:hAnsi="Arial" w:cs="Arial"/>
          <w:color w:val="auto"/>
          <w:sz w:val="28"/>
          <w:szCs w:val="28"/>
        </w:rPr>
      </w:pPr>
    </w:p>
    <w:tbl>
      <w:tblPr>
        <w:tblpPr w:leftFromText="180" w:rightFromText="180" w:vertAnchor="text" w:horzAnchor="margin" w:tblpXSpec="right" w:tblpY="87"/>
        <w:tblW w:w="4928"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518"/>
        <w:gridCol w:w="851"/>
        <w:gridCol w:w="708"/>
        <w:gridCol w:w="851"/>
      </w:tblGrid>
      <w:tr w:rsidR="00761760" w:rsidRPr="00596833" w:rsidTr="00615F23">
        <w:trPr>
          <w:trHeight w:val="310"/>
          <w:tblHeader/>
        </w:trPr>
        <w:tc>
          <w:tcPr>
            <w:tcW w:w="2518" w:type="dxa"/>
            <w:tcBorders>
              <w:top w:val="single" w:sz="4" w:space="0" w:color="5D4F4B"/>
              <w:left w:val="nil"/>
              <w:bottom w:val="nil"/>
              <w:right w:val="nil"/>
            </w:tcBorders>
            <w:shd w:val="clear" w:color="auto" w:fill="004165"/>
            <w:vAlign w:val="center"/>
            <w:hideMark/>
          </w:tcPr>
          <w:p w:rsidR="00761760" w:rsidRPr="0049476E" w:rsidRDefault="00761760" w:rsidP="00615F23">
            <w:pPr>
              <w:pStyle w:val="TableHeading"/>
              <w:spacing w:before="0" w:after="0"/>
              <w:rPr>
                <w:sz w:val="15"/>
                <w:szCs w:val="15"/>
              </w:rPr>
            </w:pPr>
            <w:r>
              <w:rPr>
                <w:sz w:val="15"/>
                <w:szCs w:val="15"/>
              </w:rPr>
              <w:t>Asset classes</w:t>
            </w:r>
          </w:p>
        </w:tc>
        <w:tc>
          <w:tcPr>
            <w:tcW w:w="851" w:type="dxa"/>
            <w:tcBorders>
              <w:top w:val="single" w:sz="4" w:space="0" w:color="5D4F4B"/>
              <w:left w:val="nil"/>
              <w:bottom w:val="nil"/>
              <w:right w:val="nil"/>
            </w:tcBorders>
            <w:shd w:val="clear" w:color="auto" w:fill="004165"/>
            <w:vAlign w:val="center"/>
            <w:hideMark/>
          </w:tcPr>
          <w:p w:rsidR="00761760" w:rsidRPr="0049476E" w:rsidRDefault="00761760" w:rsidP="00615F23">
            <w:pPr>
              <w:pStyle w:val="TableHeading"/>
              <w:spacing w:before="0" w:after="0"/>
              <w:rPr>
                <w:sz w:val="15"/>
                <w:szCs w:val="15"/>
              </w:rPr>
            </w:pPr>
            <w:r w:rsidRPr="0049476E">
              <w:rPr>
                <w:sz w:val="15"/>
                <w:szCs w:val="15"/>
              </w:rPr>
              <w:t xml:space="preserve">1 </w:t>
            </w:r>
            <w:r>
              <w:rPr>
                <w:sz w:val="15"/>
                <w:szCs w:val="15"/>
              </w:rPr>
              <w:t>month</w:t>
            </w:r>
          </w:p>
        </w:tc>
        <w:tc>
          <w:tcPr>
            <w:tcW w:w="708"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rsidR="00761760" w:rsidRPr="0049476E" w:rsidRDefault="00761760" w:rsidP="00615F23">
            <w:pPr>
              <w:pStyle w:val="TableHeading"/>
              <w:spacing w:before="0" w:after="0"/>
              <w:rPr>
                <w:sz w:val="15"/>
                <w:szCs w:val="15"/>
              </w:rPr>
            </w:pPr>
            <w:r w:rsidRPr="0049476E">
              <w:rPr>
                <w:sz w:val="15"/>
                <w:szCs w:val="15"/>
              </w:rPr>
              <w:t xml:space="preserve">12 </w:t>
            </w:r>
            <w:r>
              <w:rPr>
                <w:sz w:val="15"/>
                <w:szCs w:val="15"/>
              </w:rPr>
              <w:t>months</w:t>
            </w:r>
          </w:p>
        </w:tc>
        <w:tc>
          <w:tcPr>
            <w:tcW w:w="851" w:type="dxa"/>
            <w:tcBorders>
              <w:top w:val="single" w:sz="4" w:space="0" w:color="5D4F4B"/>
              <w:left w:val="nil"/>
              <w:bottom w:val="nil"/>
              <w:right w:val="nil"/>
            </w:tcBorders>
            <w:shd w:val="clear" w:color="auto" w:fill="004165"/>
            <w:vAlign w:val="center"/>
          </w:tcPr>
          <w:p w:rsidR="00761760" w:rsidRPr="0049476E" w:rsidRDefault="00761760" w:rsidP="00615F23">
            <w:pPr>
              <w:pStyle w:val="TableHeading"/>
              <w:spacing w:before="0" w:after="0"/>
              <w:rPr>
                <w:sz w:val="15"/>
                <w:szCs w:val="15"/>
              </w:rPr>
            </w:pPr>
            <w:r w:rsidRPr="0049476E">
              <w:rPr>
                <w:sz w:val="15"/>
                <w:szCs w:val="15"/>
              </w:rPr>
              <w:t xml:space="preserve">5 </w:t>
            </w:r>
            <w:r>
              <w:rPr>
                <w:sz w:val="15"/>
                <w:szCs w:val="15"/>
              </w:rPr>
              <w:t>years (p.a.)</w:t>
            </w:r>
          </w:p>
        </w:tc>
      </w:tr>
      <w:tr w:rsidR="00761760" w:rsidRPr="002B33E6" w:rsidTr="00615F23">
        <w:trPr>
          <w:trHeight w:val="262"/>
        </w:trPr>
        <w:tc>
          <w:tcPr>
            <w:tcW w:w="2518" w:type="dxa"/>
            <w:tcBorders>
              <w:top w:val="nil"/>
              <w:left w:val="nil"/>
              <w:bottom w:val="nil"/>
              <w:right w:val="nil"/>
            </w:tcBorders>
            <w:vAlign w:val="center"/>
            <w:hideMark/>
          </w:tcPr>
          <w:p w:rsidR="00761760" w:rsidRPr="0049476E" w:rsidRDefault="00761760" w:rsidP="00615F23">
            <w:pPr>
              <w:pStyle w:val="Table1"/>
              <w:ind w:right="33"/>
              <w:rPr>
                <w:b/>
                <w:color w:val="auto"/>
                <w:sz w:val="15"/>
                <w:szCs w:val="15"/>
              </w:rPr>
            </w:pPr>
            <w:r w:rsidRPr="0049476E">
              <w:rPr>
                <w:b/>
                <w:color w:val="auto"/>
                <w:sz w:val="15"/>
                <w:szCs w:val="15"/>
              </w:rPr>
              <w:t>Australian Shares</w:t>
            </w:r>
          </w:p>
        </w:tc>
        <w:tc>
          <w:tcPr>
            <w:tcW w:w="851" w:type="dxa"/>
            <w:tcBorders>
              <w:top w:val="nil"/>
              <w:left w:val="nil"/>
              <w:bottom w:val="nil"/>
              <w:right w:val="nil"/>
            </w:tcBorders>
            <w:vAlign w:val="center"/>
          </w:tcPr>
          <w:p w:rsidR="00761760" w:rsidRPr="002B33E6" w:rsidRDefault="007E1CA0" w:rsidP="00615F23">
            <w:pPr>
              <w:pStyle w:val="Table1"/>
              <w:tabs>
                <w:tab w:val="left" w:pos="1168"/>
              </w:tabs>
              <w:ind w:right="-13"/>
              <w:jc w:val="center"/>
              <w:rPr>
                <w:color w:val="auto"/>
                <w:sz w:val="15"/>
                <w:szCs w:val="15"/>
              </w:rPr>
            </w:pPr>
            <w:r>
              <w:rPr>
                <w:color w:val="auto"/>
                <w:sz w:val="15"/>
                <w:szCs w:val="15"/>
              </w:rPr>
              <w:t>3.3</w:t>
            </w:r>
          </w:p>
        </w:tc>
        <w:tc>
          <w:tcPr>
            <w:tcW w:w="708" w:type="dxa"/>
            <w:tcBorders>
              <w:top w:val="nil"/>
              <w:left w:val="nil"/>
              <w:bottom w:val="nil"/>
              <w:right w:val="nil"/>
            </w:tcBorders>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20.2</w:t>
            </w:r>
          </w:p>
        </w:tc>
        <w:tc>
          <w:tcPr>
            <w:tcW w:w="851" w:type="dxa"/>
            <w:tcBorders>
              <w:top w:val="nil"/>
              <w:left w:val="nil"/>
              <w:bottom w:val="nil"/>
              <w:right w:val="nil"/>
            </w:tcBorders>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10.8</w:t>
            </w:r>
          </w:p>
        </w:tc>
      </w:tr>
      <w:tr w:rsidR="00761760" w:rsidRPr="002B33E6" w:rsidTr="00615F23">
        <w:trPr>
          <w:trHeight w:val="262"/>
        </w:trPr>
        <w:tc>
          <w:tcPr>
            <w:tcW w:w="2518" w:type="dxa"/>
            <w:tcBorders>
              <w:top w:val="nil"/>
              <w:left w:val="nil"/>
              <w:bottom w:val="nil"/>
              <w:right w:val="nil"/>
            </w:tcBorders>
            <w:shd w:val="clear" w:color="auto" w:fill="DBE5F1" w:themeFill="accent1" w:themeFillTint="33"/>
            <w:vAlign w:val="center"/>
            <w:hideMark/>
          </w:tcPr>
          <w:p w:rsidR="00761760" w:rsidRPr="0049476E" w:rsidRDefault="00761760" w:rsidP="00615F23">
            <w:pPr>
              <w:pStyle w:val="Table1"/>
              <w:ind w:right="33"/>
              <w:rPr>
                <w:b/>
                <w:color w:val="auto"/>
                <w:sz w:val="15"/>
                <w:szCs w:val="15"/>
              </w:rPr>
            </w:pPr>
            <w:r w:rsidRPr="0049476E">
              <w:rPr>
                <w:b/>
                <w:color w:val="auto"/>
                <w:sz w:val="15"/>
                <w:szCs w:val="15"/>
              </w:rPr>
              <w:t>Global Shares (hedged)</w:t>
            </w:r>
          </w:p>
        </w:tc>
        <w:tc>
          <w:tcPr>
            <w:tcW w:w="851" w:type="dxa"/>
            <w:tcBorders>
              <w:top w:val="nil"/>
              <w:left w:val="nil"/>
              <w:bottom w:val="nil"/>
              <w:right w:val="nil"/>
            </w:tcBorders>
            <w:shd w:val="clear" w:color="auto" w:fill="DBE5F1" w:themeFill="accent1" w:themeFillTint="33"/>
            <w:vAlign w:val="center"/>
          </w:tcPr>
          <w:p w:rsidR="00761760" w:rsidRPr="002B33E6" w:rsidRDefault="007E1CA0" w:rsidP="00615F23">
            <w:pPr>
              <w:pStyle w:val="Table1"/>
              <w:tabs>
                <w:tab w:val="left" w:pos="1026"/>
              </w:tabs>
              <w:ind w:right="-13"/>
              <w:jc w:val="center"/>
              <w:rPr>
                <w:color w:val="auto"/>
                <w:sz w:val="15"/>
                <w:szCs w:val="15"/>
              </w:rPr>
            </w:pPr>
            <w:r>
              <w:rPr>
                <w:color w:val="auto"/>
                <w:sz w:val="15"/>
                <w:szCs w:val="15"/>
              </w:rPr>
              <w:t>1.0</w:t>
            </w:r>
          </w:p>
        </w:tc>
        <w:tc>
          <w:tcPr>
            <w:tcW w:w="708" w:type="dxa"/>
            <w:tcBorders>
              <w:top w:val="nil"/>
              <w:left w:val="nil"/>
              <w:bottom w:val="nil"/>
              <w:right w:val="nil"/>
            </w:tcBorders>
            <w:shd w:val="clear" w:color="auto" w:fill="DBE5F1" w:themeFill="accent1" w:themeFillTint="33"/>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18.8</w:t>
            </w:r>
          </w:p>
        </w:tc>
        <w:tc>
          <w:tcPr>
            <w:tcW w:w="851" w:type="dxa"/>
            <w:tcBorders>
              <w:top w:val="nil"/>
              <w:left w:val="nil"/>
              <w:bottom w:val="nil"/>
              <w:right w:val="nil"/>
            </w:tcBorders>
            <w:shd w:val="clear" w:color="auto" w:fill="DBE5F1" w:themeFill="accent1" w:themeFillTint="33"/>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13.8</w:t>
            </w:r>
          </w:p>
        </w:tc>
      </w:tr>
      <w:tr w:rsidR="00761760" w:rsidRPr="002B33E6" w:rsidTr="00615F23">
        <w:trPr>
          <w:trHeight w:val="262"/>
        </w:trPr>
        <w:tc>
          <w:tcPr>
            <w:tcW w:w="2518" w:type="dxa"/>
            <w:tcBorders>
              <w:top w:val="nil"/>
              <w:left w:val="nil"/>
              <w:bottom w:val="nil"/>
              <w:right w:val="nil"/>
            </w:tcBorders>
            <w:shd w:val="clear" w:color="auto" w:fill="FFFFFF" w:themeFill="background1"/>
            <w:vAlign w:val="center"/>
            <w:hideMark/>
          </w:tcPr>
          <w:p w:rsidR="00761760" w:rsidRPr="0049476E" w:rsidRDefault="00761760" w:rsidP="00615F23">
            <w:pPr>
              <w:pStyle w:val="Table1"/>
              <w:ind w:right="33"/>
              <w:rPr>
                <w:b/>
                <w:color w:val="auto"/>
                <w:sz w:val="15"/>
                <w:szCs w:val="15"/>
              </w:rPr>
            </w:pPr>
            <w:r w:rsidRPr="0049476E">
              <w:rPr>
                <w:b/>
                <w:color w:val="auto"/>
                <w:sz w:val="15"/>
                <w:szCs w:val="15"/>
              </w:rPr>
              <w:t>Global Shares (unhedged)</w:t>
            </w:r>
          </w:p>
        </w:tc>
        <w:tc>
          <w:tcPr>
            <w:tcW w:w="851" w:type="dxa"/>
            <w:tcBorders>
              <w:top w:val="nil"/>
              <w:left w:val="nil"/>
              <w:bottom w:val="nil"/>
              <w:right w:val="nil"/>
            </w:tcBorders>
            <w:shd w:val="clear" w:color="auto" w:fill="FFFFFF" w:themeFill="background1"/>
            <w:vAlign w:val="center"/>
          </w:tcPr>
          <w:p w:rsidR="00761760" w:rsidRPr="002B33E6" w:rsidRDefault="007E1CA0" w:rsidP="00615F23">
            <w:pPr>
              <w:pStyle w:val="Table1"/>
              <w:tabs>
                <w:tab w:val="left" w:pos="1026"/>
              </w:tabs>
              <w:ind w:right="-13"/>
              <w:jc w:val="center"/>
              <w:rPr>
                <w:color w:val="auto"/>
                <w:sz w:val="15"/>
                <w:szCs w:val="15"/>
              </w:rPr>
            </w:pPr>
            <w:r>
              <w:rPr>
                <w:color w:val="auto"/>
                <w:sz w:val="15"/>
                <w:szCs w:val="15"/>
              </w:rPr>
              <w:t>1.8</w:t>
            </w:r>
          </w:p>
        </w:tc>
        <w:tc>
          <w:tcPr>
            <w:tcW w:w="708" w:type="dxa"/>
            <w:tcBorders>
              <w:top w:val="nil"/>
              <w:left w:val="nil"/>
              <w:bottom w:val="nil"/>
              <w:right w:val="nil"/>
            </w:tcBorders>
            <w:shd w:val="clear" w:color="auto" w:fill="FFFFFF" w:themeFill="background1"/>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15.6</w:t>
            </w:r>
          </w:p>
        </w:tc>
        <w:tc>
          <w:tcPr>
            <w:tcW w:w="851" w:type="dxa"/>
            <w:tcBorders>
              <w:top w:val="nil"/>
              <w:left w:val="nil"/>
              <w:bottom w:val="nil"/>
              <w:right w:val="nil"/>
            </w:tcBorders>
            <w:shd w:val="clear" w:color="auto" w:fill="FFFFFF" w:themeFill="background1"/>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16.4</w:t>
            </w:r>
          </w:p>
        </w:tc>
      </w:tr>
      <w:tr w:rsidR="00761760" w:rsidRPr="002B33E6" w:rsidTr="00615F23">
        <w:trPr>
          <w:trHeight w:val="262"/>
        </w:trPr>
        <w:tc>
          <w:tcPr>
            <w:tcW w:w="2518" w:type="dxa"/>
            <w:tcBorders>
              <w:top w:val="nil"/>
              <w:left w:val="nil"/>
              <w:bottom w:val="nil"/>
              <w:right w:val="nil"/>
            </w:tcBorders>
            <w:shd w:val="clear" w:color="auto" w:fill="DBE5F1" w:themeFill="accent1" w:themeFillTint="33"/>
            <w:vAlign w:val="center"/>
            <w:hideMark/>
          </w:tcPr>
          <w:p w:rsidR="00761760" w:rsidRPr="0049476E" w:rsidRDefault="00761760" w:rsidP="00615F23">
            <w:pPr>
              <w:pStyle w:val="Table1"/>
              <w:ind w:right="33"/>
              <w:rPr>
                <w:b/>
                <w:color w:val="auto"/>
                <w:sz w:val="15"/>
                <w:szCs w:val="15"/>
              </w:rPr>
            </w:pPr>
            <w:r w:rsidRPr="0049476E">
              <w:rPr>
                <w:b/>
                <w:color w:val="auto"/>
                <w:sz w:val="15"/>
                <w:szCs w:val="15"/>
              </w:rPr>
              <w:t>Global Emerging Markets (unhedged)</w:t>
            </w:r>
          </w:p>
        </w:tc>
        <w:tc>
          <w:tcPr>
            <w:tcW w:w="851" w:type="dxa"/>
            <w:tcBorders>
              <w:top w:val="nil"/>
              <w:left w:val="nil"/>
              <w:bottom w:val="nil"/>
              <w:right w:val="nil"/>
            </w:tcBorders>
            <w:shd w:val="clear" w:color="auto" w:fill="DBE5F1" w:themeFill="accent1" w:themeFillTint="33"/>
            <w:vAlign w:val="center"/>
          </w:tcPr>
          <w:p w:rsidR="00761760" w:rsidRPr="00D86B95" w:rsidRDefault="007E1CA0" w:rsidP="00615F23">
            <w:pPr>
              <w:pStyle w:val="Table1"/>
              <w:tabs>
                <w:tab w:val="left" w:pos="1026"/>
              </w:tabs>
              <w:ind w:right="-13"/>
              <w:jc w:val="center"/>
              <w:rPr>
                <w:color w:val="auto"/>
                <w:sz w:val="15"/>
                <w:szCs w:val="15"/>
              </w:rPr>
            </w:pPr>
            <w:r>
              <w:rPr>
                <w:color w:val="auto"/>
                <w:sz w:val="15"/>
                <w:szCs w:val="15"/>
              </w:rPr>
              <w:t>3.3</w:t>
            </w:r>
            <w:r w:rsidR="00761760" w:rsidRPr="00D86B95">
              <w:rPr>
                <w:color w:val="auto"/>
                <w:sz w:val="15"/>
                <w:szCs w:val="15"/>
              </w:rPr>
              <w:t xml:space="preserve"> </w:t>
            </w:r>
          </w:p>
        </w:tc>
        <w:tc>
          <w:tcPr>
            <w:tcW w:w="708" w:type="dxa"/>
            <w:tcBorders>
              <w:top w:val="nil"/>
              <w:left w:val="nil"/>
              <w:bottom w:val="nil"/>
              <w:right w:val="nil"/>
            </w:tcBorders>
            <w:shd w:val="clear" w:color="auto" w:fill="DBE5F1" w:themeFill="accent1" w:themeFillTint="33"/>
            <w:tcMar>
              <w:top w:w="0" w:type="dxa"/>
              <w:left w:w="28" w:type="dxa"/>
              <w:bottom w:w="0" w:type="dxa"/>
              <w:right w:w="28" w:type="dxa"/>
            </w:tcMar>
            <w:vAlign w:val="center"/>
          </w:tcPr>
          <w:p w:rsidR="00761760" w:rsidRPr="00D86B95" w:rsidRDefault="007E1CA0" w:rsidP="00615F23">
            <w:pPr>
              <w:pStyle w:val="Table1"/>
              <w:tabs>
                <w:tab w:val="left" w:pos="823"/>
              </w:tabs>
              <w:ind w:right="114"/>
              <w:jc w:val="center"/>
              <w:rPr>
                <w:color w:val="auto"/>
                <w:sz w:val="15"/>
                <w:szCs w:val="15"/>
              </w:rPr>
            </w:pPr>
            <w:r>
              <w:rPr>
                <w:color w:val="auto"/>
                <w:sz w:val="15"/>
                <w:szCs w:val="15"/>
              </w:rPr>
              <w:t>18.2</w:t>
            </w:r>
            <w:r w:rsidR="00761760" w:rsidRPr="00D86B95">
              <w:rPr>
                <w:color w:val="auto"/>
                <w:sz w:val="15"/>
                <w:szCs w:val="15"/>
              </w:rPr>
              <w:t xml:space="preserve"> </w:t>
            </w:r>
          </w:p>
        </w:tc>
        <w:tc>
          <w:tcPr>
            <w:tcW w:w="851" w:type="dxa"/>
            <w:tcBorders>
              <w:top w:val="nil"/>
              <w:left w:val="nil"/>
              <w:bottom w:val="nil"/>
              <w:right w:val="nil"/>
            </w:tcBorders>
            <w:shd w:val="clear" w:color="auto" w:fill="DBE5F1" w:themeFill="accent1" w:themeFillTint="33"/>
            <w:vAlign w:val="center"/>
          </w:tcPr>
          <w:p w:rsidR="00761760" w:rsidRPr="00D86B95" w:rsidRDefault="007E1CA0" w:rsidP="00615F23">
            <w:pPr>
              <w:pStyle w:val="Table1"/>
              <w:tabs>
                <w:tab w:val="left" w:pos="823"/>
              </w:tabs>
              <w:ind w:right="114"/>
              <w:jc w:val="center"/>
              <w:rPr>
                <w:color w:val="auto"/>
                <w:sz w:val="15"/>
                <w:szCs w:val="15"/>
              </w:rPr>
            </w:pPr>
            <w:r>
              <w:rPr>
                <w:color w:val="auto"/>
                <w:sz w:val="15"/>
                <w:szCs w:val="15"/>
              </w:rPr>
              <w:t>7.2</w:t>
            </w:r>
          </w:p>
        </w:tc>
      </w:tr>
      <w:tr w:rsidR="00761760" w:rsidRPr="002B33E6" w:rsidTr="00615F23">
        <w:trPr>
          <w:trHeight w:val="262"/>
        </w:trPr>
        <w:tc>
          <w:tcPr>
            <w:tcW w:w="2518" w:type="dxa"/>
            <w:tcBorders>
              <w:top w:val="nil"/>
              <w:left w:val="nil"/>
              <w:bottom w:val="nil"/>
              <w:right w:val="nil"/>
            </w:tcBorders>
            <w:vAlign w:val="center"/>
            <w:hideMark/>
          </w:tcPr>
          <w:p w:rsidR="00761760" w:rsidRPr="0049476E" w:rsidRDefault="00761760" w:rsidP="00615F23">
            <w:pPr>
              <w:pStyle w:val="Table1"/>
              <w:ind w:right="33"/>
              <w:rPr>
                <w:b/>
                <w:color w:val="auto"/>
                <w:sz w:val="15"/>
                <w:szCs w:val="15"/>
              </w:rPr>
            </w:pPr>
            <w:r w:rsidRPr="0049476E">
              <w:rPr>
                <w:b/>
                <w:color w:val="auto"/>
                <w:sz w:val="15"/>
                <w:szCs w:val="15"/>
              </w:rPr>
              <w:t>Global Small Companies (unhedged)</w:t>
            </w:r>
          </w:p>
        </w:tc>
        <w:tc>
          <w:tcPr>
            <w:tcW w:w="851" w:type="dxa"/>
            <w:tcBorders>
              <w:top w:val="nil"/>
              <w:left w:val="nil"/>
              <w:bottom w:val="nil"/>
              <w:right w:val="nil"/>
            </w:tcBorders>
            <w:vAlign w:val="center"/>
          </w:tcPr>
          <w:p w:rsidR="00761760" w:rsidRPr="002B33E6" w:rsidRDefault="007E1CA0" w:rsidP="00615F23">
            <w:pPr>
              <w:pStyle w:val="Table1"/>
              <w:tabs>
                <w:tab w:val="left" w:pos="1026"/>
              </w:tabs>
              <w:ind w:right="-13"/>
              <w:jc w:val="center"/>
              <w:rPr>
                <w:color w:val="auto"/>
                <w:sz w:val="15"/>
                <w:szCs w:val="15"/>
              </w:rPr>
            </w:pPr>
            <w:r>
              <w:rPr>
                <w:color w:val="auto"/>
                <w:sz w:val="15"/>
                <w:szCs w:val="15"/>
              </w:rPr>
              <w:t>1.5</w:t>
            </w:r>
          </w:p>
        </w:tc>
        <w:tc>
          <w:tcPr>
            <w:tcW w:w="708" w:type="dxa"/>
            <w:tcBorders>
              <w:top w:val="nil"/>
              <w:left w:val="nil"/>
              <w:bottom w:val="nil"/>
              <w:right w:val="nil"/>
            </w:tcBorders>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18.9</w:t>
            </w:r>
          </w:p>
        </w:tc>
        <w:tc>
          <w:tcPr>
            <w:tcW w:w="851" w:type="dxa"/>
            <w:tcBorders>
              <w:top w:val="nil"/>
              <w:left w:val="nil"/>
              <w:bottom w:val="nil"/>
              <w:right w:val="nil"/>
            </w:tcBorders>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17.9</w:t>
            </w:r>
          </w:p>
        </w:tc>
      </w:tr>
      <w:tr w:rsidR="00761760" w:rsidRPr="002B33E6" w:rsidTr="00615F23">
        <w:trPr>
          <w:trHeight w:val="262"/>
        </w:trPr>
        <w:tc>
          <w:tcPr>
            <w:tcW w:w="2518" w:type="dxa"/>
            <w:tcBorders>
              <w:top w:val="nil"/>
              <w:left w:val="nil"/>
              <w:bottom w:val="nil"/>
              <w:right w:val="nil"/>
            </w:tcBorders>
            <w:shd w:val="clear" w:color="auto" w:fill="DBE5F1" w:themeFill="accent1" w:themeFillTint="33"/>
            <w:vAlign w:val="center"/>
            <w:hideMark/>
          </w:tcPr>
          <w:p w:rsidR="00761760" w:rsidRPr="0049476E" w:rsidRDefault="00761760" w:rsidP="00615F23">
            <w:pPr>
              <w:pStyle w:val="Table1"/>
              <w:ind w:right="33"/>
              <w:rPr>
                <w:b/>
                <w:color w:val="auto"/>
                <w:sz w:val="15"/>
                <w:szCs w:val="15"/>
              </w:rPr>
            </w:pPr>
            <w:r w:rsidRPr="0049476E">
              <w:rPr>
                <w:b/>
                <w:color w:val="auto"/>
                <w:sz w:val="15"/>
                <w:szCs w:val="15"/>
              </w:rPr>
              <w:t>Global Listed Property</w:t>
            </w:r>
          </w:p>
        </w:tc>
        <w:tc>
          <w:tcPr>
            <w:tcW w:w="851" w:type="dxa"/>
            <w:tcBorders>
              <w:top w:val="nil"/>
              <w:left w:val="nil"/>
              <w:bottom w:val="nil"/>
              <w:right w:val="nil"/>
            </w:tcBorders>
            <w:shd w:val="clear" w:color="auto" w:fill="DBE5F1" w:themeFill="accent1" w:themeFillTint="33"/>
            <w:vAlign w:val="center"/>
          </w:tcPr>
          <w:p w:rsidR="00761760" w:rsidRPr="002B33E6" w:rsidRDefault="007E1CA0" w:rsidP="00615F23">
            <w:pPr>
              <w:pStyle w:val="Table1"/>
              <w:tabs>
                <w:tab w:val="left" w:pos="1026"/>
              </w:tabs>
              <w:ind w:right="-13"/>
              <w:jc w:val="center"/>
              <w:rPr>
                <w:color w:val="auto"/>
                <w:sz w:val="15"/>
                <w:szCs w:val="15"/>
              </w:rPr>
            </w:pPr>
            <w:r>
              <w:rPr>
                <w:color w:val="auto"/>
                <w:sz w:val="15"/>
                <w:szCs w:val="15"/>
              </w:rPr>
              <w:t>-1.9</w:t>
            </w:r>
          </w:p>
        </w:tc>
        <w:tc>
          <w:tcPr>
            <w:tcW w:w="708" w:type="dxa"/>
            <w:tcBorders>
              <w:top w:val="nil"/>
              <w:left w:val="nil"/>
              <w:bottom w:val="nil"/>
              <w:right w:val="nil"/>
            </w:tcBorders>
            <w:shd w:val="clear" w:color="auto" w:fill="DBE5F1" w:themeFill="accent1" w:themeFillTint="33"/>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2.7</w:t>
            </w:r>
          </w:p>
        </w:tc>
        <w:tc>
          <w:tcPr>
            <w:tcW w:w="851" w:type="dxa"/>
            <w:tcBorders>
              <w:top w:val="nil"/>
              <w:left w:val="nil"/>
              <w:bottom w:val="nil"/>
              <w:right w:val="nil"/>
            </w:tcBorders>
            <w:shd w:val="clear" w:color="auto" w:fill="DBE5F1" w:themeFill="accent1" w:themeFillTint="33"/>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11.4</w:t>
            </w:r>
          </w:p>
        </w:tc>
      </w:tr>
      <w:tr w:rsidR="00761760" w:rsidRPr="002B33E6" w:rsidTr="00615F23">
        <w:trPr>
          <w:trHeight w:val="262"/>
        </w:trPr>
        <w:tc>
          <w:tcPr>
            <w:tcW w:w="2518" w:type="dxa"/>
            <w:tcBorders>
              <w:top w:val="nil"/>
              <w:left w:val="nil"/>
              <w:bottom w:val="nil"/>
              <w:right w:val="nil"/>
            </w:tcBorders>
            <w:shd w:val="clear" w:color="auto" w:fill="auto"/>
            <w:vAlign w:val="center"/>
            <w:hideMark/>
          </w:tcPr>
          <w:p w:rsidR="00761760" w:rsidRPr="0049476E" w:rsidRDefault="00761760" w:rsidP="00615F23">
            <w:pPr>
              <w:pStyle w:val="Table1"/>
              <w:ind w:right="33"/>
              <w:rPr>
                <w:b/>
                <w:color w:val="auto"/>
                <w:sz w:val="15"/>
                <w:szCs w:val="15"/>
              </w:rPr>
            </w:pPr>
            <w:r w:rsidRPr="0049476E">
              <w:rPr>
                <w:b/>
                <w:color w:val="auto"/>
                <w:sz w:val="15"/>
                <w:szCs w:val="15"/>
              </w:rPr>
              <w:t xml:space="preserve">Cash </w:t>
            </w:r>
          </w:p>
        </w:tc>
        <w:tc>
          <w:tcPr>
            <w:tcW w:w="851" w:type="dxa"/>
            <w:tcBorders>
              <w:top w:val="nil"/>
              <w:left w:val="nil"/>
              <w:bottom w:val="nil"/>
              <w:right w:val="nil"/>
            </w:tcBorders>
            <w:shd w:val="clear" w:color="auto" w:fill="auto"/>
            <w:vAlign w:val="center"/>
          </w:tcPr>
          <w:p w:rsidR="00761760" w:rsidRPr="002B33E6" w:rsidRDefault="007E1CA0" w:rsidP="00615F23">
            <w:pPr>
              <w:pStyle w:val="Table1"/>
              <w:tabs>
                <w:tab w:val="left" w:pos="1026"/>
              </w:tabs>
              <w:ind w:right="-13"/>
              <w:jc w:val="center"/>
              <w:rPr>
                <w:color w:val="auto"/>
                <w:sz w:val="15"/>
                <w:szCs w:val="15"/>
              </w:rPr>
            </w:pPr>
            <w:r>
              <w:rPr>
                <w:color w:val="auto"/>
                <w:sz w:val="15"/>
                <w:szCs w:val="15"/>
              </w:rPr>
              <w:t>0.2</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1.9</w:t>
            </w:r>
          </w:p>
        </w:tc>
        <w:tc>
          <w:tcPr>
            <w:tcW w:w="851" w:type="dxa"/>
            <w:tcBorders>
              <w:top w:val="nil"/>
              <w:left w:val="nil"/>
              <w:bottom w:val="nil"/>
              <w:right w:val="nil"/>
            </w:tcBorders>
            <w:shd w:val="clear" w:color="auto" w:fill="auto"/>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2.7</w:t>
            </w:r>
          </w:p>
        </w:tc>
      </w:tr>
      <w:tr w:rsidR="00761760" w:rsidRPr="002B33E6" w:rsidTr="00615F23">
        <w:trPr>
          <w:trHeight w:val="262"/>
        </w:trPr>
        <w:tc>
          <w:tcPr>
            <w:tcW w:w="2518" w:type="dxa"/>
            <w:tcBorders>
              <w:top w:val="nil"/>
              <w:left w:val="nil"/>
              <w:bottom w:val="nil"/>
              <w:right w:val="nil"/>
            </w:tcBorders>
            <w:shd w:val="clear" w:color="auto" w:fill="DBE5F1" w:themeFill="accent1" w:themeFillTint="33"/>
            <w:vAlign w:val="center"/>
            <w:hideMark/>
          </w:tcPr>
          <w:p w:rsidR="00761760" w:rsidRPr="0049476E" w:rsidRDefault="00761760" w:rsidP="00615F23">
            <w:pPr>
              <w:pStyle w:val="Table1"/>
              <w:ind w:right="33"/>
              <w:rPr>
                <w:b/>
                <w:color w:val="auto"/>
                <w:sz w:val="15"/>
                <w:szCs w:val="15"/>
              </w:rPr>
            </w:pPr>
            <w:r w:rsidRPr="0049476E">
              <w:rPr>
                <w:b/>
                <w:color w:val="auto"/>
                <w:sz w:val="15"/>
                <w:szCs w:val="15"/>
              </w:rPr>
              <w:t>Australian Fixed Income</w:t>
            </w:r>
          </w:p>
        </w:tc>
        <w:tc>
          <w:tcPr>
            <w:tcW w:w="851" w:type="dxa"/>
            <w:tcBorders>
              <w:top w:val="nil"/>
              <w:left w:val="nil"/>
              <w:bottom w:val="nil"/>
              <w:right w:val="nil"/>
            </w:tcBorders>
            <w:shd w:val="clear" w:color="auto" w:fill="DBE5F1" w:themeFill="accent1" w:themeFillTint="33"/>
            <w:vAlign w:val="center"/>
          </w:tcPr>
          <w:p w:rsidR="00761760" w:rsidRPr="002B33E6" w:rsidRDefault="007E1CA0" w:rsidP="00615F23">
            <w:pPr>
              <w:pStyle w:val="Table1"/>
              <w:tabs>
                <w:tab w:val="left" w:pos="1026"/>
              </w:tabs>
              <w:ind w:right="-13"/>
              <w:jc w:val="center"/>
              <w:rPr>
                <w:color w:val="auto"/>
                <w:sz w:val="15"/>
                <w:szCs w:val="15"/>
              </w:rPr>
            </w:pPr>
            <w:r>
              <w:rPr>
                <w:color w:val="auto"/>
                <w:sz w:val="15"/>
                <w:szCs w:val="15"/>
              </w:rPr>
              <w:t>0.4</w:t>
            </w:r>
          </w:p>
        </w:tc>
        <w:tc>
          <w:tcPr>
            <w:tcW w:w="708" w:type="dxa"/>
            <w:tcBorders>
              <w:top w:val="nil"/>
              <w:left w:val="nil"/>
              <w:bottom w:val="nil"/>
              <w:right w:val="nil"/>
            </w:tcBorders>
            <w:shd w:val="clear" w:color="auto" w:fill="DBE5F1" w:themeFill="accent1" w:themeFillTint="33"/>
            <w:tcMar>
              <w:top w:w="0" w:type="dxa"/>
              <w:left w:w="28" w:type="dxa"/>
              <w:bottom w:w="0" w:type="dxa"/>
              <w:right w:w="28" w:type="dxa"/>
            </w:tcMar>
            <w:vAlign w:val="center"/>
          </w:tcPr>
          <w:p w:rsidR="00761760" w:rsidRPr="002B33E6" w:rsidRDefault="007E1CA0" w:rsidP="00615F23">
            <w:pPr>
              <w:pStyle w:val="Table1"/>
              <w:tabs>
                <w:tab w:val="left" w:pos="823"/>
              </w:tabs>
              <w:ind w:right="114"/>
              <w:jc w:val="center"/>
              <w:rPr>
                <w:color w:val="auto"/>
                <w:sz w:val="15"/>
                <w:szCs w:val="15"/>
              </w:rPr>
            </w:pPr>
            <w:r>
              <w:rPr>
                <w:color w:val="auto"/>
                <w:sz w:val="15"/>
                <w:szCs w:val="15"/>
              </w:rPr>
              <w:t>2.1</w:t>
            </w:r>
          </w:p>
        </w:tc>
        <w:tc>
          <w:tcPr>
            <w:tcW w:w="851" w:type="dxa"/>
            <w:tcBorders>
              <w:top w:val="nil"/>
              <w:left w:val="nil"/>
              <w:bottom w:val="nil"/>
              <w:right w:val="nil"/>
            </w:tcBorders>
            <w:shd w:val="clear" w:color="auto" w:fill="DBE5F1" w:themeFill="accent1" w:themeFillTint="33"/>
            <w:vAlign w:val="center"/>
          </w:tcPr>
          <w:p w:rsidR="00761760" w:rsidRPr="002B33E6" w:rsidRDefault="00761760" w:rsidP="00615F23">
            <w:pPr>
              <w:pStyle w:val="Table1"/>
              <w:tabs>
                <w:tab w:val="left" w:pos="823"/>
              </w:tabs>
              <w:ind w:right="114"/>
              <w:jc w:val="center"/>
              <w:rPr>
                <w:color w:val="auto"/>
                <w:sz w:val="15"/>
                <w:szCs w:val="15"/>
              </w:rPr>
            </w:pPr>
            <w:r w:rsidRPr="002B33E6">
              <w:rPr>
                <w:color w:val="auto"/>
                <w:sz w:val="15"/>
                <w:szCs w:val="15"/>
              </w:rPr>
              <w:t>5.1</w:t>
            </w:r>
          </w:p>
        </w:tc>
      </w:tr>
      <w:tr w:rsidR="00761760" w:rsidRPr="002B33E6" w:rsidTr="00615F23">
        <w:trPr>
          <w:trHeight w:val="372"/>
        </w:trPr>
        <w:tc>
          <w:tcPr>
            <w:tcW w:w="2518" w:type="dxa"/>
            <w:tcBorders>
              <w:top w:val="nil"/>
              <w:left w:val="nil"/>
              <w:bottom w:val="nil"/>
              <w:right w:val="nil"/>
            </w:tcBorders>
            <w:vAlign w:val="center"/>
            <w:hideMark/>
          </w:tcPr>
          <w:p w:rsidR="00761760" w:rsidRPr="0049476E" w:rsidRDefault="00761760" w:rsidP="00615F23">
            <w:pPr>
              <w:pStyle w:val="Table1"/>
              <w:spacing w:after="0"/>
              <w:ind w:right="33"/>
              <w:rPr>
                <w:b/>
                <w:color w:val="auto"/>
                <w:sz w:val="15"/>
                <w:szCs w:val="15"/>
              </w:rPr>
            </w:pPr>
            <w:r w:rsidRPr="0049476E">
              <w:rPr>
                <w:b/>
                <w:color w:val="auto"/>
                <w:sz w:val="15"/>
                <w:szCs w:val="15"/>
              </w:rPr>
              <w:t>International Fixed Income</w:t>
            </w:r>
          </w:p>
        </w:tc>
        <w:tc>
          <w:tcPr>
            <w:tcW w:w="851" w:type="dxa"/>
            <w:tcBorders>
              <w:top w:val="nil"/>
              <w:left w:val="nil"/>
              <w:bottom w:val="nil"/>
              <w:right w:val="nil"/>
            </w:tcBorders>
            <w:vAlign w:val="center"/>
          </w:tcPr>
          <w:p w:rsidR="00761760" w:rsidRPr="002B33E6" w:rsidRDefault="007E1CA0" w:rsidP="00615F23">
            <w:pPr>
              <w:pStyle w:val="Table1"/>
              <w:tabs>
                <w:tab w:val="left" w:pos="1026"/>
              </w:tabs>
              <w:spacing w:after="0"/>
              <w:ind w:right="-13"/>
              <w:jc w:val="center"/>
              <w:rPr>
                <w:color w:val="auto"/>
                <w:sz w:val="15"/>
                <w:szCs w:val="15"/>
              </w:rPr>
            </w:pPr>
            <w:r>
              <w:rPr>
                <w:color w:val="auto"/>
                <w:sz w:val="15"/>
                <w:szCs w:val="15"/>
              </w:rPr>
              <w:t>0.0</w:t>
            </w:r>
          </w:p>
        </w:tc>
        <w:tc>
          <w:tcPr>
            <w:tcW w:w="708" w:type="dxa"/>
            <w:tcBorders>
              <w:top w:val="nil"/>
              <w:left w:val="nil"/>
              <w:bottom w:val="nil"/>
              <w:right w:val="nil"/>
            </w:tcBorders>
            <w:tcMar>
              <w:top w:w="0" w:type="dxa"/>
              <w:left w:w="28" w:type="dxa"/>
              <w:bottom w:w="0" w:type="dxa"/>
              <w:right w:w="28" w:type="dxa"/>
            </w:tcMar>
            <w:vAlign w:val="center"/>
          </w:tcPr>
          <w:p w:rsidR="00761760" w:rsidRPr="002B33E6" w:rsidRDefault="007E1CA0" w:rsidP="00615F23">
            <w:pPr>
              <w:pStyle w:val="Table1"/>
              <w:tabs>
                <w:tab w:val="left" w:pos="823"/>
              </w:tabs>
              <w:spacing w:after="0"/>
              <w:ind w:right="114"/>
              <w:jc w:val="center"/>
              <w:rPr>
                <w:color w:val="auto"/>
                <w:sz w:val="15"/>
                <w:szCs w:val="15"/>
              </w:rPr>
            </w:pPr>
            <w:r>
              <w:rPr>
                <w:color w:val="auto"/>
                <w:sz w:val="15"/>
                <w:szCs w:val="15"/>
              </w:rPr>
              <w:t>2.2</w:t>
            </w:r>
          </w:p>
        </w:tc>
        <w:tc>
          <w:tcPr>
            <w:tcW w:w="851" w:type="dxa"/>
            <w:tcBorders>
              <w:top w:val="nil"/>
              <w:left w:val="nil"/>
              <w:bottom w:val="nil"/>
              <w:right w:val="nil"/>
            </w:tcBorders>
            <w:vAlign w:val="center"/>
          </w:tcPr>
          <w:p w:rsidR="00761760" w:rsidRPr="002B33E6" w:rsidRDefault="00761760" w:rsidP="00615F23">
            <w:pPr>
              <w:pStyle w:val="Table1"/>
              <w:tabs>
                <w:tab w:val="left" w:pos="823"/>
              </w:tabs>
              <w:spacing w:after="0"/>
              <w:ind w:right="114"/>
              <w:jc w:val="center"/>
              <w:rPr>
                <w:color w:val="auto"/>
                <w:sz w:val="15"/>
                <w:szCs w:val="15"/>
              </w:rPr>
            </w:pPr>
            <w:r w:rsidRPr="002B33E6">
              <w:rPr>
                <w:color w:val="auto"/>
                <w:sz w:val="15"/>
                <w:szCs w:val="15"/>
              </w:rPr>
              <w:t>5.8</w:t>
            </w:r>
          </w:p>
        </w:tc>
      </w:tr>
      <w:tr w:rsidR="00761760" w:rsidRPr="00EC17AD" w:rsidTr="00615F23">
        <w:trPr>
          <w:trHeight w:val="262"/>
        </w:trPr>
        <w:tc>
          <w:tcPr>
            <w:tcW w:w="4928" w:type="dxa"/>
            <w:gridSpan w:val="4"/>
            <w:tcBorders>
              <w:top w:val="nil"/>
              <w:left w:val="nil"/>
              <w:bottom w:val="nil"/>
              <w:right w:val="nil"/>
            </w:tcBorders>
            <w:vAlign w:val="center"/>
          </w:tcPr>
          <w:p w:rsidR="007E1CA0" w:rsidRPr="00FA04A4" w:rsidRDefault="007E1CA0" w:rsidP="007E1CA0">
            <w:pPr>
              <w:pStyle w:val="Footnote"/>
              <w:spacing w:after="60"/>
              <w:ind w:left="0" w:firstLine="0"/>
              <w:rPr>
                <w:color w:val="auto"/>
                <w:sz w:val="12"/>
                <w:szCs w:val="12"/>
              </w:rPr>
            </w:pPr>
            <w:r w:rsidRPr="00FA04A4">
              <w:rPr>
                <w:color w:val="auto"/>
                <w:sz w:val="12"/>
                <w:szCs w:val="12"/>
              </w:rPr>
              <w:t>Source: JP Morgan &amp; ANZ Weal</w:t>
            </w:r>
            <w:r w:rsidRPr="00AB1ABA">
              <w:rPr>
                <w:color w:val="auto"/>
                <w:sz w:val="12"/>
                <w:szCs w:val="12"/>
              </w:rPr>
              <w:t xml:space="preserve">th, </w:t>
            </w:r>
            <w:r>
              <w:rPr>
                <w:color w:val="auto"/>
                <w:sz w:val="12"/>
                <w:szCs w:val="12"/>
              </w:rPr>
              <w:t>31 March</w:t>
            </w:r>
            <w:r w:rsidRPr="00AB1ABA">
              <w:rPr>
                <w:color w:val="auto"/>
                <w:sz w:val="12"/>
                <w:szCs w:val="12"/>
              </w:rPr>
              <w:t xml:space="preserve"> 2017.</w:t>
            </w:r>
          </w:p>
          <w:p w:rsidR="007E1CA0" w:rsidRDefault="007E1CA0" w:rsidP="007E1CA0">
            <w:pPr>
              <w:pStyle w:val="Footnote"/>
              <w:spacing w:after="60"/>
              <w:ind w:left="0" w:firstLine="0"/>
              <w:rPr>
                <w:color w:val="auto"/>
                <w:sz w:val="12"/>
                <w:szCs w:val="12"/>
              </w:rPr>
            </w:pPr>
            <w:r>
              <w:rPr>
                <w:color w:val="auto"/>
                <w:sz w:val="12"/>
                <w:szCs w:val="12"/>
              </w:rPr>
              <w:t>Indices:</w:t>
            </w:r>
            <w:r w:rsidRPr="0049476E">
              <w:rPr>
                <w:color w:val="auto"/>
                <w:sz w:val="12"/>
                <w:szCs w:val="12"/>
              </w:rPr>
              <w:t xml:space="preserve"> Australian Shares - S&amp;P / ASX300 Accumulation, Global Shares (hedged/unhedged) - MSCI World ex Australia, Global Emerging Markets - MSCI Emerging Free Net in AUD (unhedged), Global Small Companies (unhedged) - MSCI World Small Cap ex</w:t>
            </w:r>
            <w:r>
              <w:rPr>
                <w:color w:val="auto"/>
                <w:sz w:val="12"/>
                <w:szCs w:val="12"/>
              </w:rPr>
              <w:t xml:space="preserve"> </w:t>
            </w:r>
            <w:r w:rsidRPr="0049476E">
              <w:rPr>
                <w:color w:val="auto"/>
                <w:sz w:val="12"/>
                <w:szCs w:val="12"/>
              </w:rPr>
              <w:t>Australia, Global Listed Property - FTSE EPRA/NAREIT Developed Rental Index ex</w:t>
            </w:r>
            <w:r>
              <w:rPr>
                <w:color w:val="auto"/>
                <w:sz w:val="12"/>
                <w:szCs w:val="12"/>
              </w:rPr>
              <w:t xml:space="preserve"> </w:t>
            </w:r>
            <w:r w:rsidRPr="0049476E">
              <w:rPr>
                <w:color w:val="auto"/>
                <w:sz w:val="12"/>
                <w:szCs w:val="12"/>
              </w:rPr>
              <w:t>Australia (hedged), Cash - Bloomberg Bank Bill, Australian Fixed Income - Bloomberg Composite Bond All Maturities, International Fixed Income - Barclays Global Aggregate Bond Index (hedged).</w:t>
            </w:r>
            <w:r>
              <w:rPr>
                <w:color w:val="auto"/>
                <w:sz w:val="12"/>
                <w:szCs w:val="12"/>
              </w:rPr>
              <w:t xml:space="preserve"> </w:t>
            </w:r>
          </w:p>
          <w:p w:rsidR="00761760" w:rsidRPr="0049476E" w:rsidRDefault="007E1CA0" w:rsidP="007E1CA0">
            <w:pPr>
              <w:pStyle w:val="Footnote"/>
              <w:spacing w:after="60"/>
              <w:ind w:left="0" w:firstLine="0"/>
              <w:rPr>
                <w:color w:val="auto"/>
                <w:sz w:val="12"/>
                <w:szCs w:val="12"/>
              </w:rPr>
            </w:pPr>
            <w:r w:rsidRPr="00FA04A4">
              <w:rPr>
                <w:color w:val="auto"/>
                <w:sz w:val="12"/>
                <w:szCs w:val="12"/>
              </w:rPr>
              <w:t>Please note: Past performance is not indicative of future performance</w:t>
            </w:r>
            <w:r>
              <w:rPr>
                <w:color w:val="auto"/>
                <w:sz w:val="12"/>
                <w:szCs w:val="12"/>
              </w:rPr>
              <w:t>.</w:t>
            </w:r>
          </w:p>
        </w:tc>
      </w:tr>
    </w:tbl>
    <w:p w:rsidR="002B1CD7" w:rsidRDefault="002B1CD7" w:rsidP="00E41E33">
      <w:pPr>
        <w:spacing w:after="120"/>
        <w:rPr>
          <w:rFonts w:ascii="Arial" w:hAnsi="Arial" w:cs="Arial"/>
          <w:b/>
          <w:color w:val="0084C1"/>
          <w:sz w:val="14"/>
        </w:rPr>
      </w:pPr>
    </w:p>
    <w:p w:rsidR="00140F98" w:rsidRPr="003F060C" w:rsidRDefault="00140F98" w:rsidP="00E41E33">
      <w:pPr>
        <w:spacing w:after="120"/>
        <w:rPr>
          <w:rFonts w:ascii="Arial" w:hAnsi="Arial" w:cs="Arial"/>
          <w:b/>
          <w:color w:val="0084C1"/>
          <w:sz w:val="14"/>
        </w:rPr>
      </w:pPr>
    </w:p>
    <w:p w:rsidR="007D7618" w:rsidRPr="00EC03BE" w:rsidRDefault="007D7618" w:rsidP="003F060C">
      <w:pPr>
        <w:pStyle w:val="IntroHeading"/>
        <w:spacing w:line="240" w:lineRule="auto"/>
        <w:rPr>
          <w:rFonts w:ascii="Arial" w:hAnsi="Arial" w:cs="Arial"/>
          <w:color w:val="FF0000"/>
          <w:sz w:val="28"/>
          <w:szCs w:val="28"/>
        </w:rPr>
      </w:pPr>
      <w:r w:rsidRPr="00EC03BE">
        <w:rPr>
          <w:rFonts w:ascii="Arial" w:hAnsi="Arial" w:cs="Arial"/>
          <w:color w:val="FF0000"/>
          <w:sz w:val="28"/>
          <w:szCs w:val="28"/>
        </w:rPr>
        <w:t>Currency</w:t>
      </w:r>
    </w:p>
    <w:p w:rsidR="007D7618" w:rsidRDefault="007D7618" w:rsidP="00E41E33">
      <w:pPr>
        <w:spacing w:after="120"/>
        <w:rPr>
          <w:rFonts w:ascii="Arial" w:hAnsi="Arial" w:cs="Arial"/>
          <w:b/>
          <w:color w:val="0084C1"/>
          <w:sz w:val="14"/>
        </w:rPr>
      </w:pPr>
    </w:p>
    <w:tbl>
      <w:tblPr>
        <w:tblpPr w:leftFromText="180" w:rightFromText="180" w:vertAnchor="text" w:horzAnchor="margin" w:tblpXSpec="right" w:tblpY="87"/>
        <w:tblW w:w="4928" w:type="dxa"/>
        <w:tblBorders>
          <w:top w:val="single" w:sz="4" w:space="0" w:color="5D4F4B"/>
        </w:tblBorders>
        <w:tblLayout w:type="fixed"/>
        <w:tblLook w:val="00A0" w:firstRow="1" w:lastRow="0" w:firstColumn="1" w:lastColumn="0" w:noHBand="0" w:noVBand="0"/>
      </w:tblPr>
      <w:tblGrid>
        <w:gridCol w:w="2376"/>
        <w:gridCol w:w="993"/>
        <w:gridCol w:w="708"/>
        <w:gridCol w:w="851"/>
      </w:tblGrid>
      <w:tr w:rsidR="00761760" w:rsidRPr="00596833" w:rsidTr="00761760">
        <w:trPr>
          <w:trHeight w:val="310"/>
          <w:tblHeader/>
        </w:trPr>
        <w:tc>
          <w:tcPr>
            <w:tcW w:w="2376" w:type="dxa"/>
            <w:shd w:val="clear" w:color="auto" w:fill="004165"/>
            <w:vAlign w:val="center"/>
            <w:hideMark/>
          </w:tcPr>
          <w:p w:rsidR="00761760" w:rsidRPr="0049476E" w:rsidRDefault="00761760" w:rsidP="00615F23">
            <w:pPr>
              <w:pStyle w:val="TableHeading"/>
              <w:spacing w:before="0" w:after="0"/>
              <w:rPr>
                <w:sz w:val="15"/>
                <w:szCs w:val="15"/>
              </w:rPr>
            </w:pPr>
            <w:r>
              <w:rPr>
                <w:sz w:val="15"/>
                <w:szCs w:val="15"/>
              </w:rPr>
              <w:t>Exchange rates</w:t>
            </w:r>
          </w:p>
        </w:tc>
        <w:tc>
          <w:tcPr>
            <w:tcW w:w="993" w:type="dxa"/>
            <w:shd w:val="clear" w:color="auto" w:fill="004165"/>
            <w:vAlign w:val="center"/>
            <w:hideMark/>
          </w:tcPr>
          <w:p w:rsidR="00761760" w:rsidRPr="0049476E" w:rsidRDefault="00761760" w:rsidP="00615F23">
            <w:pPr>
              <w:pStyle w:val="TableHeading"/>
              <w:spacing w:before="0" w:after="0"/>
              <w:rPr>
                <w:sz w:val="15"/>
                <w:szCs w:val="15"/>
              </w:rPr>
            </w:pPr>
            <w:r>
              <w:rPr>
                <w:sz w:val="15"/>
                <w:szCs w:val="15"/>
              </w:rPr>
              <w:t>At close on 28/2</w:t>
            </w:r>
          </w:p>
        </w:tc>
        <w:tc>
          <w:tcPr>
            <w:tcW w:w="708" w:type="dxa"/>
            <w:shd w:val="clear" w:color="auto" w:fill="004165"/>
            <w:tcMar>
              <w:top w:w="0" w:type="dxa"/>
              <w:left w:w="28" w:type="dxa"/>
              <w:bottom w:w="0" w:type="dxa"/>
              <w:right w:w="28" w:type="dxa"/>
            </w:tcMar>
            <w:vAlign w:val="center"/>
            <w:hideMark/>
          </w:tcPr>
          <w:p w:rsidR="00761760" w:rsidRPr="0049476E" w:rsidRDefault="00761760" w:rsidP="00615F23">
            <w:pPr>
              <w:pStyle w:val="TableHeading"/>
              <w:spacing w:before="0" w:after="0"/>
              <w:rPr>
                <w:sz w:val="15"/>
                <w:szCs w:val="15"/>
              </w:rPr>
            </w:pPr>
            <w:r>
              <w:rPr>
                <w:sz w:val="15"/>
                <w:szCs w:val="15"/>
              </w:rPr>
              <w:t>% change 1 month</w:t>
            </w:r>
          </w:p>
        </w:tc>
        <w:tc>
          <w:tcPr>
            <w:tcW w:w="851" w:type="dxa"/>
            <w:shd w:val="clear" w:color="auto" w:fill="004165"/>
            <w:vAlign w:val="center"/>
          </w:tcPr>
          <w:p w:rsidR="00761760" w:rsidRPr="0049476E" w:rsidRDefault="00761760" w:rsidP="00615F23">
            <w:pPr>
              <w:pStyle w:val="TableHeading"/>
              <w:spacing w:before="0" w:after="0"/>
              <w:rPr>
                <w:sz w:val="15"/>
                <w:szCs w:val="15"/>
              </w:rPr>
            </w:pPr>
            <w:r>
              <w:rPr>
                <w:sz w:val="15"/>
                <w:szCs w:val="15"/>
              </w:rPr>
              <w:t>% change 12 months</w:t>
            </w:r>
          </w:p>
        </w:tc>
      </w:tr>
      <w:tr w:rsidR="00761760" w:rsidRPr="00EC17AD" w:rsidTr="00761760">
        <w:trPr>
          <w:trHeight w:val="262"/>
        </w:trPr>
        <w:tc>
          <w:tcPr>
            <w:tcW w:w="2376" w:type="dxa"/>
            <w:vAlign w:val="center"/>
            <w:hideMark/>
          </w:tcPr>
          <w:p w:rsidR="00761760" w:rsidRPr="0049476E" w:rsidRDefault="00761760" w:rsidP="00615F23">
            <w:pPr>
              <w:pStyle w:val="Table1"/>
              <w:ind w:right="33"/>
              <w:rPr>
                <w:b/>
                <w:color w:val="auto"/>
                <w:sz w:val="15"/>
                <w:szCs w:val="15"/>
              </w:rPr>
            </w:pPr>
            <w:r>
              <w:rPr>
                <w:b/>
                <w:color w:val="auto"/>
                <w:sz w:val="15"/>
                <w:szCs w:val="15"/>
              </w:rPr>
              <w:t>AUD/USD</w:t>
            </w:r>
          </w:p>
        </w:tc>
        <w:tc>
          <w:tcPr>
            <w:tcW w:w="993" w:type="dxa"/>
            <w:vAlign w:val="center"/>
          </w:tcPr>
          <w:p w:rsidR="00761760" w:rsidRPr="00570340" w:rsidRDefault="007E1CA0" w:rsidP="00615F23">
            <w:pPr>
              <w:pStyle w:val="Table1"/>
              <w:tabs>
                <w:tab w:val="left" w:pos="1168"/>
              </w:tabs>
              <w:ind w:right="-13"/>
              <w:jc w:val="center"/>
              <w:rPr>
                <w:color w:val="auto"/>
                <w:sz w:val="15"/>
                <w:szCs w:val="15"/>
              </w:rPr>
            </w:pPr>
            <w:r>
              <w:rPr>
                <w:color w:val="auto"/>
                <w:sz w:val="15"/>
                <w:szCs w:val="15"/>
              </w:rPr>
              <w:t>0.76</w:t>
            </w:r>
          </w:p>
        </w:tc>
        <w:tc>
          <w:tcPr>
            <w:tcW w:w="708" w:type="dxa"/>
            <w:tcMar>
              <w:top w:w="0" w:type="dxa"/>
              <w:left w:w="28" w:type="dxa"/>
              <w:bottom w:w="0" w:type="dxa"/>
              <w:right w:w="28" w:type="dxa"/>
            </w:tcMar>
            <w:vAlign w:val="center"/>
          </w:tcPr>
          <w:p w:rsidR="00761760" w:rsidRPr="00570340" w:rsidRDefault="007E1CA0" w:rsidP="00615F23">
            <w:pPr>
              <w:pStyle w:val="Table1"/>
              <w:tabs>
                <w:tab w:val="left" w:pos="823"/>
              </w:tabs>
              <w:ind w:right="114"/>
              <w:jc w:val="center"/>
              <w:rPr>
                <w:color w:val="auto"/>
                <w:sz w:val="15"/>
                <w:szCs w:val="15"/>
              </w:rPr>
            </w:pPr>
            <w:r>
              <w:rPr>
                <w:color w:val="auto"/>
                <w:sz w:val="15"/>
                <w:szCs w:val="15"/>
              </w:rPr>
              <w:t>-0.4</w:t>
            </w:r>
          </w:p>
        </w:tc>
        <w:tc>
          <w:tcPr>
            <w:tcW w:w="851" w:type="dxa"/>
            <w:vAlign w:val="center"/>
          </w:tcPr>
          <w:p w:rsidR="00761760" w:rsidRPr="00570340" w:rsidRDefault="007E1CA0" w:rsidP="00615F23">
            <w:pPr>
              <w:pStyle w:val="Table1"/>
              <w:tabs>
                <w:tab w:val="left" w:pos="823"/>
              </w:tabs>
              <w:ind w:right="114"/>
              <w:jc w:val="center"/>
              <w:rPr>
                <w:color w:val="auto"/>
                <w:sz w:val="15"/>
                <w:szCs w:val="15"/>
              </w:rPr>
            </w:pPr>
            <w:r>
              <w:rPr>
                <w:color w:val="auto"/>
                <w:sz w:val="15"/>
                <w:szCs w:val="15"/>
              </w:rPr>
              <w:t>1.1</w:t>
            </w:r>
          </w:p>
        </w:tc>
      </w:tr>
      <w:tr w:rsidR="00761760" w:rsidRPr="00EC17AD" w:rsidTr="00761760">
        <w:trPr>
          <w:trHeight w:val="262"/>
        </w:trPr>
        <w:tc>
          <w:tcPr>
            <w:tcW w:w="2376" w:type="dxa"/>
            <w:shd w:val="clear" w:color="auto" w:fill="DBE5F1" w:themeFill="accent1" w:themeFillTint="33"/>
            <w:vAlign w:val="center"/>
            <w:hideMark/>
          </w:tcPr>
          <w:p w:rsidR="00761760" w:rsidRPr="0049476E" w:rsidRDefault="00761760" w:rsidP="00615F23">
            <w:pPr>
              <w:pStyle w:val="Table1"/>
              <w:ind w:right="33"/>
              <w:rPr>
                <w:b/>
                <w:color w:val="auto"/>
                <w:sz w:val="15"/>
                <w:szCs w:val="15"/>
              </w:rPr>
            </w:pPr>
            <w:r>
              <w:rPr>
                <w:b/>
                <w:color w:val="auto"/>
                <w:sz w:val="15"/>
                <w:szCs w:val="15"/>
              </w:rPr>
              <w:t>AUD/euro</w:t>
            </w:r>
          </w:p>
        </w:tc>
        <w:tc>
          <w:tcPr>
            <w:tcW w:w="993" w:type="dxa"/>
            <w:shd w:val="clear" w:color="auto" w:fill="DBE5F1" w:themeFill="accent1" w:themeFillTint="33"/>
            <w:vAlign w:val="center"/>
          </w:tcPr>
          <w:p w:rsidR="00761760" w:rsidRPr="00570340" w:rsidRDefault="007E1CA0" w:rsidP="00615F23">
            <w:pPr>
              <w:pStyle w:val="Table1"/>
              <w:tabs>
                <w:tab w:val="left" w:pos="1026"/>
              </w:tabs>
              <w:ind w:right="-13"/>
              <w:jc w:val="center"/>
              <w:rPr>
                <w:color w:val="auto"/>
                <w:sz w:val="15"/>
                <w:szCs w:val="15"/>
              </w:rPr>
            </w:pPr>
            <w:r>
              <w:rPr>
                <w:color w:val="auto"/>
                <w:sz w:val="15"/>
                <w:szCs w:val="15"/>
              </w:rPr>
              <w:t>0.72</w:t>
            </w:r>
          </w:p>
        </w:tc>
        <w:tc>
          <w:tcPr>
            <w:tcW w:w="708" w:type="dxa"/>
            <w:shd w:val="clear" w:color="auto" w:fill="DBE5F1" w:themeFill="accent1" w:themeFillTint="33"/>
            <w:tcMar>
              <w:top w:w="0" w:type="dxa"/>
              <w:left w:w="28" w:type="dxa"/>
              <w:bottom w:w="0" w:type="dxa"/>
              <w:right w:w="28" w:type="dxa"/>
            </w:tcMar>
            <w:vAlign w:val="center"/>
          </w:tcPr>
          <w:p w:rsidR="00761760" w:rsidRPr="00570340" w:rsidRDefault="007E1CA0" w:rsidP="00615F23">
            <w:pPr>
              <w:pStyle w:val="Table1"/>
              <w:tabs>
                <w:tab w:val="left" w:pos="823"/>
              </w:tabs>
              <w:ind w:right="114"/>
              <w:jc w:val="center"/>
              <w:rPr>
                <w:color w:val="auto"/>
                <w:sz w:val="15"/>
                <w:szCs w:val="15"/>
              </w:rPr>
            </w:pPr>
            <w:r>
              <w:rPr>
                <w:color w:val="auto"/>
                <w:sz w:val="15"/>
                <w:szCs w:val="15"/>
              </w:rPr>
              <w:t>-1.1</w:t>
            </w:r>
          </w:p>
        </w:tc>
        <w:tc>
          <w:tcPr>
            <w:tcW w:w="851" w:type="dxa"/>
            <w:shd w:val="clear" w:color="auto" w:fill="DBE5F1" w:themeFill="accent1" w:themeFillTint="33"/>
            <w:vAlign w:val="center"/>
          </w:tcPr>
          <w:p w:rsidR="00761760" w:rsidRPr="00570340" w:rsidRDefault="007E1CA0" w:rsidP="00615F23">
            <w:pPr>
              <w:pStyle w:val="Table1"/>
              <w:tabs>
                <w:tab w:val="left" w:pos="823"/>
              </w:tabs>
              <w:ind w:right="114"/>
              <w:jc w:val="center"/>
              <w:rPr>
                <w:color w:val="auto"/>
                <w:sz w:val="15"/>
                <w:szCs w:val="15"/>
              </w:rPr>
            </w:pPr>
            <w:r>
              <w:rPr>
                <w:color w:val="auto"/>
                <w:sz w:val="15"/>
                <w:szCs w:val="15"/>
              </w:rPr>
              <w:t>8.0</w:t>
            </w:r>
          </w:p>
        </w:tc>
      </w:tr>
      <w:tr w:rsidR="00761760" w:rsidRPr="00EC17AD" w:rsidTr="00761760">
        <w:trPr>
          <w:trHeight w:val="262"/>
        </w:trPr>
        <w:tc>
          <w:tcPr>
            <w:tcW w:w="2376" w:type="dxa"/>
            <w:shd w:val="clear" w:color="auto" w:fill="FFFFFF" w:themeFill="background1"/>
            <w:vAlign w:val="center"/>
            <w:hideMark/>
          </w:tcPr>
          <w:p w:rsidR="00761760" w:rsidRPr="0049476E" w:rsidRDefault="00761760" w:rsidP="00615F23">
            <w:pPr>
              <w:pStyle w:val="Table1"/>
              <w:ind w:right="33"/>
              <w:rPr>
                <w:b/>
                <w:color w:val="auto"/>
                <w:sz w:val="15"/>
                <w:szCs w:val="15"/>
              </w:rPr>
            </w:pPr>
            <w:r>
              <w:rPr>
                <w:b/>
                <w:color w:val="auto"/>
                <w:sz w:val="15"/>
                <w:szCs w:val="15"/>
              </w:rPr>
              <w:t>AUD/yen</w:t>
            </w:r>
          </w:p>
        </w:tc>
        <w:tc>
          <w:tcPr>
            <w:tcW w:w="993" w:type="dxa"/>
            <w:shd w:val="clear" w:color="auto" w:fill="FFFFFF" w:themeFill="background1"/>
            <w:vAlign w:val="center"/>
          </w:tcPr>
          <w:p w:rsidR="00761760" w:rsidRPr="00570340" w:rsidRDefault="007E1CA0" w:rsidP="00615F23">
            <w:pPr>
              <w:pStyle w:val="Table1"/>
              <w:tabs>
                <w:tab w:val="left" w:pos="1026"/>
              </w:tabs>
              <w:ind w:right="-13"/>
              <w:jc w:val="center"/>
              <w:rPr>
                <w:color w:val="auto"/>
                <w:sz w:val="15"/>
                <w:szCs w:val="15"/>
              </w:rPr>
            </w:pPr>
            <w:r>
              <w:rPr>
                <w:color w:val="auto"/>
                <w:sz w:val="15"/>
                <w:szCs w:val="15"/>
              </w:rPr>
              <w:t>84.98</w:t>
            </w:r>
          </w:p>
        </w:tc>
        <w:tc>
          <w:tcPr>
            <w:tcW w:w="708" w:type="dxa"/>
            <w:shd w:val="clear" w:color="auto" w:fill="FFFFFF" w:themeFill="background1"/>
            <w:tcMar>
              <w:top w:w="0" w:type="dxa"/>
              <w:left w:w="28" w:type="dxa"/>
              <w:bottom w:w="0" w:type="dxa"/>
              <w:right w:w="28" w:type="dxa"/>
            </w:tcMar>
            <w:vAlign w:val="center"/>
          </w:tcPr>
          <w:p w:rsidR="00761760" w:rsidRPr="00570340" w:rsidRDefault="007E1CA0" w:rsidP="00615F23">
            <w:pPr>
              <w:pStyle w:val="Table1"/>
              <w:tabs>
                <w:tab w:val="left" w:pos="823"/>
              </w:tabs>
              <w:ind w:right="114"/>
              <w:jc w:val="center"/>
              <w:rPr>
                <w:color w:val="auto"/>
                <w:sz w:val="15"/>
                <w:szCs w:val="15"/>
              </w:rPr>
            </w:pPr>
            <w:r>
              <w:rPr>
                <w:color w:val="auto"/>
                <w:sz w:val="15"/>
                <w:szCs w:val="15"/>
              </w:rPr>
              <w:t>-1.6</w:t>
            </w:r>
          </w:p>
        </w:tc>
        <w:tc>
          <w:tcPr>
            <w:tcW w:w="851" w:type="dxa"/>
            <w:shd w:val="clear" w:color="auto" w:fill="FFFFFF" w:themeFill="background1"/>
            <w:vAlign w:val="center"/>
          </w:tcPr>
          <w:p w:rsidR="00761760" w:rsidRPr="00570340" w:rsidRDefault="007E1CA0" w:rsidP="00615F23">
            <w:pPr>
              <w:pStyle w:val="Table1"/>
              <w:tabs>
                <w:tab w:val="left" w:pos="823"/>
              </w:tabs>
              <w:ind w:right="114"/>
              <w:jc w:val="center"/>
              <w:rPr>
                <w:color w:val="auto"/>
                <w:sz w:val="15"/>
                <w:szCs w:val="15"/>
              </w:rPr>
            </w:pPr>
            <w:r>
              <w:rPr>
                <w:color w:val="auto"/>
                <w:sz w:val="15"/>
                <w:szCs w:val="15"/>
              </w:rPr>
              <w:t>2.1</w:t>
            </w:r>
          </w:p>
        </w:tc>
      </w:tr>
      <w:tr w:rsidR="00761760" w:rsidRPr="00EC17AD" w:rsidTr="00761760">
        <w:trPr>
          <w:trHeight w:val="292"/>
        </w:trPr>
        <w:tc>
          <w:tcPr>
            <w:tcW w:w="2376" w:type="dxa"/>
            <w:vAlign w:val="center"/>
            <w:hideMark/>
          </w:tcPr>
          <w:p w:rsidR="00761760" w:rsidRPr="0049476E" w:rsidRDefault="00761760" w:rsidP="00615F23">
            <w:pPr>
              <w:pStyle w:val="Table1"/>
              <w:spacing w:after="0"/>
              <w:ind w:right="33"/>
              <w:rPr>
                <w:b/>
                <w:color w:val="auto"/>
                <w:sz w:val="15"/>
                <w:szCs w:val="15"/>
              </w:rPr>
            </w:pPr>
            <w:r>
              <w:rPr>
                <w:b/>
                <w:color w:val="auto"/>
                <w:sz w:val="15"/>
                <w:szCs w:val="15"/>
              </w:rPr>
              <w:t>Trade weighted index</w:t>
            </w:r>
          </w:p>
        </w:tc>
        <w:tc>
          <w:tcPr>
            <w:tcW w:w="993" w:type="dxa"/>
            <w:vAlign w:val="center"/>
          </w:tcPr>
          <w:p w:rsidR="00761760" w:rsidRPr="00570340" w:rsidRDefault="007E1CA0" w:rsidP="00615F23">
            <w:pPr>
              <w:pStyle w:val="Table1"/>
              <w:tabs>
                <w:tab w:val="left" w:pos="1026"/>
              </w:tabs>
              <w:spacing w:after="0"/>
              <w:ind w:right="-13"/>
              <w:jc w:val="center"/>
              <w:rPr>
                <w:color w:val="auto"/>
                <w:sz w:val="15"/>
                <w:szCs w:val="15"/>
              </w:rPr>
            </w:pPr>
            <w:r>
              <w:rPr>
                <w:color w:val="auto"/>
                <w:sz w:val="15"/>
                <w:szCs w:val="15"/>
              </w:rPr>
              <w:t>66.2</w:t>
            </w:r>
          </w:p>
        </w:tc>
        <w:tc>
          <w:tcPr>
            <w:tcW w:w="708" w:type="dxa"/>
            <w:tcMar>
              <w:top w:w="0" w:type="dxa"/>
              <w:left w:w="28" w:type="dxa"/>
              <w:bottom w:w="0" w:type="dxa"/>
              <w:right w:w="28" w:type="dxa"/>
            </w:tcMar>
            <w:vAlign w:val="center"/>
          </w:tcPr>
          <w:p w:rsidR="00761760" w:rsidRPr="00570340" w:rsidRDefault="007E1CA0" w:rsidP="00615F23">
            <w:pPr>
              <w:pStyle w:val="Table1"/>
              <w:tabs>
                <w:tab w:val="left" w:pos="823"/>
              </w:tabs>
              <w:spacing w:after="0"/>
              <w:ind w:right="114"/>
              <w:jc w:val="center"/>
              <w:rPr>
                <w:color w:val="auto"/>
                <w:sz w:val="15"/>
                <w:szCs w:val="15"/>
              </w:rPr>
            </w:pPr>
            <w:r>
              <w:rPr>
                <w:color w:val="auto"/>
                <w:sz w:val="15"/>
                <w:szCs w:val="15"/>
              </w:rPr>
              <w:t>-0.7</w:t>
            </w:r>
          </w:p>
        </w:tc>
        <w:tc>
          <w:tcPr>
            <w:tcW w:w="851" w:type="dxa"/>
            <w:vAlign w:val="center"/>
          </w:tcPr>
          <w:p w:rsidR="00761760" w:rsidRPr="00570340" w:rsidRDefault="007E1CA0" w:rsidP="00615F23">
            <w:pPr>
              <w:pStyle w:val="Table1"/>
              <w:tabs>
                <w:tab w:val="left" w:pos="823"/>
              </w:tabs>
              <w:spacing w:after="0"/>
              <w:ind w:right="114"/>
              <w:jc w:val="center"/>
              <w:rPr>
                <w:color w:val="auto"/>
                <w:sz w:val="15"/>
                <w:szCs w:val="15"/>
              </w:rPr>
            </w:pPr>
            <w:r>
              <w:rPr>
                <w:color w:val="auto"/>
                <w:sz w:val="15"/>
                <w:szCs w:val="15"/>
              </w:rPr>
              <w:t>3.6</w:t>
            </w:r>
          </w:p>
        </w:tc>
      </w:tr>
      <w:tr w:rsidR="00761760" w:rsidRPr="00EC17AD" w:rsidTr="00761760">
        <w:trPr>
          <w:trHeight w:val="262"/>
        </w:trPr>
        <w:tc>
          <w:tcPr>
            <w:tcW w:w="4928" w:type="dxa"/>
            <w:gridSpan w:val="4"/>
            <w:vAlign w:val="center"/>
          </w:tcPr>
          <w:p w:rsidR="007E1CA0" w:rsidRPr="00FA04A4" w:rsidRDefault="007E1CA0" w:rsidP="007E1CA0">
            <w:pPr>
              <w:pStyle w:val="Footnote"/>
              <w:spacing w:after="60"/>
              <w:ind w:left="0" w:firstLine="0"/>
              <w:rPr>
                <w:color w:val="auto"/>
                <w:sz w:val="12"/>
                <w:szCs w:val="12"/>
              </w:rPr>
            </w:pPr>
            <w:r>
              <w:rPr>
                <w:color w:val="auto"/>
                <w:sz w:val="12"/>
                <w:szCs w:val="12"/>
              </w:rPr>
              <w:t xml:space="preserve">Source: Bloomberg </w:t>
            </w:r>
            <w:r w:rsidRPr="00FA04A4">
              <w:rPr>
                <w:color w:val="auto"/>
                <w:sz w:val="12"/>
                <w:szCs w:val="12"/>
              </w:rPr>
              <w:t>&amp; ANZ Wealt</w:t>
            </w:r>
            <w:r w:rsidRPr="00AB1ABA">
              <w:rPr>
                <w:color w:val="auto"/>
                <w:sz w:val="12"/>
                <w:szCs w:val="12"/>
              </w:rPr>
              <w:t xml:space="preserve">h, </w:t>
            </w:r>
            <w:r>
              <w:rPr>
                <w:color w:val="auto"/>
                <w:sz w:val="12"/>
                <w:szCs w:val="12"/>
              </w:rPr>
              <w:t>31 March</w:t>
            </w:r>
            <w:r w:rsidRPr="00AB1ABA">
              <w:rPr>
                <w:color w:val="auto"/>
                <w:sz w:val="12"/>
                <w:szCs w:val="12"/>
              </w:rPr>
              <w:t xml:space="preserve"> 2017.</w:t>
            </w:r>
            <w:r w:rsidRPr="00AB1ABA">
              <w:rPr>
                <w:b/>
                <w:color w:val="auto"/>
                <w:sz w:val="12"/>
                <w:szCs w:val="12"/>
              </w:rPr>
              <w:t xml:space="preserve"> </w:t>
            </w:r>
            <w:r w:rsidRPr="00AB1ABA">
              <w:rPr>
                <w:color w:val="auto"/>
                <w:sz w:val="12"/>
                <w:szCs w:val="12"/>
              </w:rPr>
              <w:t>All for</w:t>
            </w:r>
            <w:r w:rsidRPr="007D7618">
              <w:rPr>
                <w:color w:val="auto"/>
                <w:sz w:val="12"/>
                <w:szCs w:val="12"/>
              </w:rPr>
              <w:t>eign exchange rates are rounded to two decimal places.</w:t>
            </w:r>
          </w:p>
          <w:p w:rsidR="00761760" w:rsidRPr="0049476E" w:rsidRDefault="007E1CA0" w:rsidP="007E1CA0">
            <w:pPr>
              <w:pStyle w:val="Footnote"/>
              <w:spacing w:after="60"/>
              <w:ind w:left="0" w:firstLine="0"/>
              <w:rPr>
                <w:color w:val="auto"/>
                <w:sz w:val="12"/>
                <w:szCs w:val="12"/>
              </w:rPr>
            </w:pPr>
            <w:r w:rsidRPr="00FA04A4">
              <w:rPr>
                <w:color w:val="auto"/>
                <w:sz w:val="12"/>
                <w:szCs w:val="12"/>
              </w:rPr>
              <w:t>Please note: Past performance is not indicative of future performance</w:t>
            </w:r>
            <w:r>
              <w:rPr>
                <w:color w:val="auto"/>
                <w:sz w:val="12"/>
                <w:szCs w:val="12"/>
              </w:rPr>
              <w:t>.</w:t>
            </w:r>
          </w:p>
        </w:tc>
      </w:tr>
    </w:tbl>
    <w:p w:rsidR="00761760" w:rsidRPr="003F060C" w:rsidRDefault="00761760" w:rsidP="00E41E33">
      <w:pPr>
        <w:spacing w:after="120"/>
        <w:rPr>
          <w:rFonts w:ascii="Arial" w:hAnsi="Arial" w:cs="Arial"/>
          <w:b/>
          <w:color w:val="0084C1"/>
          <w:sz w:val="14"/>
        </w:rPr>
        <w:sectPr w:rsidR="00761760" w:rsidRPr="003F060C" w:rsidSect="003F060C">
          <w:headerReference w:type="default" r:id="rId11"/>
          <w:type w:val="continuous"/>
          <w:pgSz w:w="11900" w:h="16840"/>
          <w:pgMar w:top="1440" w:right="843" w:bottom="1440" w:left="993" w:header="0" w:footer="0" w:gutter="0"/>
          <w:cols w:num="2" w:space="261"/>
          <w:docGrid w:linePitch="360"/>
        </w:sect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9859C5" w:rsidRDefault="009859C5" w:rsidP="003F060C">
      <w:pPr>
        <w:spacing w:after="60"/>
        <w:rPr>
          <w:rFonts w:ascii="Arial" w:hAnsi="Arial" w:cs="Arial"/>
          <w:sz w:val="12"/>
          <w:szCs w:val="12"/>
        </w:rPr>
      </w:pPr>
    </w:p>
    <w:p w:rsidR="002B7F4B" w:rsidRPr="003F060C" w:rsidRDefault="009859C5" w:rsidP="003F060C">
      <w:pPr>
        <w:spacing w:after="60"/>
        <w:rPr>
          <w:rFonts w:ascii="Arial" w:hAnsi="Arial" w:cs="Arial"/>
          <w:sz w:val="12"/>
          <w:szCs w:val="12"/>
        </w:rPr>
      </w:pPr>
      <w:r w:rsidRPr="003F060C">
        <w:rPr>
          <w:rFonts w:ascii="Arial" w:hAnsi="Arial" w:cs="Arial"/>
          <w:noProof/>
          <w:lang w:val="en-GB" w:eastAsia="en-GB"/>
        </w:rPr>
        <w:drawing>
          <wp:anchor distT="0" distB="0" distL="114300" distR="114300" simplePos="0" relativeHeight="251617280" behindDoc="1" locked="0" layoutInCell="1" allowOverlap="1" wp14:anchorId="5B0BB5DD" wp14:editId="6B4CB8E6">
            <wp:simplePos x="0" y="0"/>
            <wp:positionH relativeFrom="margin">
              <wp:posOffset>-678180</wp:posOffset>
            </wp:positionH>
            <wp:positionV relativeFrom="margin">
              <wp:posOffset>2905125</wp:posOffset>
            </wp:positionV>
            <wp:extent cx="7559675" cy="1762760"/>
            <wp:effectExtent l="0" t="0" r="317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 Drop Box:CIO PDFs:Investment Spotlight - Header.jpg"/>
                    <pic:cNvPicPr>
                      <a:picLocks noChangeAspect="1" noChangeArrowheads="1"/>
                    </pic:cNvPicPr>
                  </pic:nvPicPr>
                  <pic:blipFill>
                    <a:blip r:embed="rId12">
                      <a:duotone>
                        <a:prstClr val="black"/>
                        <a:schemeClr val="accent1">
                          <a:lumMod val="60000"/>
                          <a:lumOff val="40000"/>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bwMode="auto">
                    <a:xfrm>
                      <a:off x="0" y="0"/>
                      <a:ext cx="7559675" cy="1762760"/>
                    </a:xfrm>
                    <a:prstGeom prst="rect">
                      <a:avLst/>
                    </a:prstGeom>
                    <a:solidFill>
                      <a:sysClr val="windowText" lastClr="000000">
                        <a:alpha val="1000"/>
                      </a:sysClr>
                    </a:solidFill>
                    <a:ln>
                      <a:noFill/>
                    </a:ln>
                  </pic:spPr>
                </pic:pic>
              </a:graphicData>
            </a:graphic>
            <wp14:sizeRelH relativeFrom="margin">
              <wp14:pctWidth>0</wp14:pctWidth>
            </wp14:sizeRelH>
            <wp14:sizeRelV relativeFrom="margin">
              <wp14:pctHeight>0</wp14:pctHeight>
            </wp14:sizeRelV>
          </wp:anchor>
        </w:drawing>
      </w:r>
    </w:p>
    <w:sectPr w:rsidR="002B7F4B" w:rsidRPr="003F060C" w:rsidSect="003F060C">
      <w:headerReference w:type="default" r:id="rId14"/>
      <w:type w:val="continuous"/>
      <w:pgSz w:w="11900" w:h="16840"/>
      <w:pgMar w:top="1440" w:right="843" w:bottom="1440" w:left="993" w:header="0" w:footer="0" w:gutter="0"/>
      <w:cols w:space="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76" w:rsidRDefault="00D95A76" w:rsidP="001B56FD">
      <w:r>
        <w:separator/>
      </w:r>
    </w:p>
  </w:endnote>
  <w:endnote w:type="continuationSeparator" w:id="0">
    <w:p w:rsidR="00D95A76" w:rsidRDefault="00D95A76" w:rsidP="001B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3000003" w:usb1="00000000" w:usb2="00000000" w:usb3="00000000" w:csb0="00000001" w:csb1="00000000"/>
  </w:font>
  <w:font w:name="Avenir LT 85 Heavy">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0C" w:rsidRPr="003F060C" w:rsidRDefault="00761760" w:rsidP="007E1CA0">
    <w:pPr>
      <w:spacing w:after="60"/>
      <w:rPr>
        <w:rStyle w:val="PageNumber"/>
        <w:rFonts w:ascii="Arial" w:hAnsi="Arial" w:cs="Arial"/>
        <w:i/>
        <w:color w:val="0084C1"/>
        <w:sz w:val="14"/>
        <w:szCs w:val="16"/>
      </w:rPr>
    </w:pPr>
    <w:r w:rsidRPr="00761760">
      <w:rPr>
        <w:rFonts w:ascii="Verdana" w:hAnsi="Verdana"/>
        <w:b/>
        <w:i/>
        <w:sz w:val="12"/>
        <w:szCs w:val="12"/>
      </w:rPr>
      <w:t>Disclaimer:</w:t>
    </w:r>
    <w:r w:rsidRPr="00761760">
      <w:rPr>
        <w:rFonts w:ascii="Verdana" w:hAnsi="Verdana"/>
        <w:i/>
        <w:sz w:val="12"/>
        <w:szCs w:val="12"/>
      </w:rPr>
      <w:t xml:space="preserve"> </w:t>
    </w:r>
    <w:r w:rsidR="007E1CA0" w:rsidRPr="007E1CA0">
      <w:rPr>
        <w:rFonts w:ascii="Verdana" w:hAnsi="Verdana"/>
        <w:i/>
        <w:sz w:val="12"/>
        <w:szCs w:val="12"/>
      </w:rPr>
      <w:t xml:space="preserve">This information is current as at 6 April 2017 but is subject to change. This information is issued by </w:t>
    </w:r>
    <w:proofErr w:type="spellStart"/>
    <w:r w:rsidR="007E1CA0" w:rsidRPr="007E1CA0">
      <w:rPr>
        <w:rFonts w:ascii="Verdana" w:hAnsi="Verdana"/>
        <w:i/>
        <w:sz w:val="12"/>
        <w:szCs w:val="12"/>
      </w:rPr>
      <w:t>OnePath</w:t>
    </w:r>
    <w:proofErr w:type="spellEnd"/>
    <w:r w:rsidR="007E1CA0" w:rsidRPr="007E1CA0">
      <w:rPr>
        <w:rFonts w:ascii="Verdana" w:hAnsi="Verdana"/>
        <w:i/>
        <w:sz w:val="12"/>
        <w:szCs w:val="12"/>
      </w:rPr>
      <w:t xml:space="preserve"> Funds Management Limited (OFM) ABN 21 003 002 800 AFSL 238342. OFM is a wholly owned subsidiary of Australia and New Zealand Banking Group Limited (ANZ) ABN 11 005 357 522 but is not a bank. The information is general in nature and does not take into account a potential investor’s personal needs, objectives and financial circumstances. This information is not to be construed as investment or financial product advice, and should not be relied upon as a substitute for professional advice. Before acting on this information, potential investors should consider the appropriateness of the information, having regard to their objectives, financial situation and needs. Potential investors should read the relevant Product Disclosure Statement (PDS) available at onepath.com.au and consider whether the particular product is right for them. Although all the information in this document is obtained in good faith from sources believed to be reliable no representation of warranty, express or implied is made as to its accuracy or completeness. Whilst care has been taken in preparing this material, ANZ and its related entities do not warrant or represent that the information, opinions or conclusions contained in this document (“information”) are accurate. To the extent permitted by law, ANZ and its related entities do not accept any liability from the use of the information. Past performance is not indicative of future performance. The value of investments may rise or fall and the repayment of subscribed capital is not guaranteed.</w:t>
    </w:r>
    <w:r w:rsidR="007E1CA0">
      <w:rPr>
        <w:rFonts w:ascii="Verdana" w:hAnsi="Verdana"/>
        <w:i/>
        <w:sz w:val="12"/>
        <w:szCs w:val="12"/>
      </w:rPr>
      <w:t xml:space="preserve"> </w:t>
    </w:r>
    <w:r w:rsidR="003F060C" w:rsidRPr="007E1CA0">
      <w:rPr>
        <w:rFonts w:ascii="Verdana" w:hAnsi="Verdana"/>
        <w:i/>
        <w:sz w:val="12"/>
        <w:szCs w:val="12"/>
      </w:rPr>
      <w:t>Financial Services Partners Pty Ltd Level 23, 242 Pitt Street, Sydney, NSW 2000. ABN 15 089 512 587 AFSL 237590</w:t>
    </w:r>
    <w:r w:rsidR="003F060C" w:rsidRPr="007E1CA0">
      <w:rPr>
        <w:rFonts w:ascii="Verdana" w:hAnsi="Verdana"/>
        <w:sz w:val="12"/>
        <w:szCs w:val="12"/>
      </w:rPr>
      <w:t>.</w:t>
    </w:r>
  </w:p>
  <w:p w:rsidR="009D0953" w:rsidRPr="003F060C" w:rsidRDefault="009D0953" w:rsidP="003F060C">
    <w:pPr>
      <w:rPr>
        <w:rFonts w:ascii="Arial" w:hAnsi="Arial" w:cs="Arial"/>
        <w:sz w:val="16"/>
        <w:szCs w:val="16"/>
      </w:rPr>
    </w:pPr>
    <w:r w:rsidRPr="003F060C">
      <w:rPr>
        <w:rStyle w:val="PageNumber"/>
        <w:rFonts w:ascii="Arial" w:hAnsi="Arial" w:cs="Arial"/>
        <w:color w:val="0084C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76" w:rsidRDefault="00D95A76" w:rsidP="001B56FD">
      <w:r>
        <w:separator/>
      </w:r>
    </w:p>
  </w:footnote>
  <w:footnote w:type="continuationSeparator" w:id="0">
    <w:p w:rsidR="00D95A76" w:rsidRDefault="00D95A76" w:rsidP="001B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3" w:rsidRDefault="009D0953" w:rsidP="001B56FD">
    <w:pPr>
      <w:pStyle w:val="Header"/>
      <w:tabs>
        <w:tab w:val="clear" w:pos="8640"/>
        <w:tab w:val="right" w:pos="10065"/>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3" w:rsidRDefault="009D0953" w:rsidP="001B56FD">
    <w:pPr>
      <w:pStyle w:val="Header"/>
      <w:tabs>
        <w:tab w:val="clear" w:pos="8640"/>
        <w:tab w:val="right" w:pos="10065"/>
      </w:tabs>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7E"/>
    <w:multiLevelType w:val="hybridMultilevel"/>
    <w:tmpl w:val="CF78A432"/>
    <w:lvl w:ilvl="0" w:tplc="987416B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7C5BF6"/>
    <w:multiLevelType w:val="hybridMultilevel"/>
    <w:tmpl w:val="8DB8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F4689"/>
    <w:multiLevelType w:val="hybridMultilevel"/>
    <w:tmpl w:val="6020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D248C"/>
    <w:multiLevelType w:val="hybridMultilevel"/>
    <w:tmpl w:val="554A6118"/>
    <w:lvl w:ilvl="0" w:tplc="73E222F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ADA6CA7"/>
    <w:multiLevelType w:val="hybridMultilevel"/>
    <w:tmpl w:val="E8664536"/>
    <w:lvl w:ilvl="0" w:tplc="B35EB3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5E1687"/>
    <w:multiLevelType w:val="hybridMultilevel"/>
    <w:tmpl w:val="FA146A7C"/>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6" w15:restartNumberingAfterBreak="0">
    <w:nsid w:val="3DC20AD1"/>
    <w:multiLevelType w:val="hybridMultilevel"/>
    <w:tmpl w:val="2AA66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F309D8"/>
    <w:multiLevelType w:val="hybridMultilevel"/>
    <w:tmpl w:val="26CE226C"/>
    <w:lvl w:ilvl="0" w:tplc="4B3CD5AE">
      <w:numFmt w:val="bullet"/>
      <w:lvlText w:val="-"/>
      <w:lvlJc w:val="left"/>
      <w:pPr>
        <w:ind w:left="720" w:hanging="360"/>
      </w:pPr>
      <w:rPr>
        <w:rFonts w:ascii="Verdana" w:eastAsiaTheme="minorEastAsi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DE3217"/>
    <w:multiLevelType w:val="hybridMultilevel"/>
    <w:tmpl w:val="AE62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533401"/>
    <w:multiLevelType w:val="hybridMultilevel"/>
    <w:tmpl w:val="5AAE4CCC"/>
    <w:lvl w:ilvl="0" w:tplc="8CC2936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DF33F6"/>
    <w:multiLevelType w:val="hybridMultilevel"/>
    <w:tmpl w:val="C5C469A8"/>
    <w:lvl w:ilvl="0" w:tplc="E1EE004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ED976AD"/>
    <w:multiLevelType w:val="hybridMultilevel"/>
    <w:tmpl w:val="090C93C4"/>
    <w:lvl w:ilvl="0" w:tplc="322870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AF04A2"/>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3" w15:restartNumberingAfterBreak="0">
    <w:nsid w:val="72881A2F"/>
    <w:multiLevelType w:val="hybridMultilevel"/>
    <w:tmpl w:val="907ECB90"/>
    <w:lvl w:ilvl="0" w:tplc="FC68ED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2D76F57"/>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5" w15:restartNumberingAfterBreak="0">
    <w:nsid w:val="77461646"/>
    <w:multiLevelType w:val="hybridMultilevel"/>
    <w:tmpl w:val="9D5AF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4"/>
  </w:num>
  <w:num w:numId="4">
    <w:abstractNumId w:val="12"/>
  </w:num>
  <w:num w:numId="5">
    <w:abstractNumId w:val="3"/>
  </w:num>
  <w:num w:numId="6">
    <w:abstractNumId w:val="9"/>
  </w:num>
  <w:num w:numId="7">
    <w:abstractNumId w:val="13"/>
  </w:num>
  <w:num w:numId="8">
    <w:abstractNumId w:val="10"/>
  </w:num>
  <w:num w:numId="9">
    <w:abstractNumId w:val="4"/>
  </w:num>
  <w:num w:numId="10">
    <w:abstractNumId w:val="11"/>
  </w:num>
  <w:num w:numId="11">
    <w:abstractNumId w:val="0"/>
  </w:num>
  <w:num w:numId="12">
    <w:abstractNumId w:val="6"/>
  </w:num>
  <w:num w:numId="13">
    <w:abstractNumId w:val="7"/>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B56FD"/>
    <w:rsid w:val="000035F8"/>
    <w:rsid w:val="0001056D"/>
    <w:rsid w:val="00024991"/>
    <w:rsid w:val="000249FA"/>
    <w:rsid w:val="000315FD"/>
    <w:rsid w:val="00037BFD"/>
    <w:rsid w:val="000416DA"/>
    <w:rsid w:val="00042349"/>
    <w:rsid w:val="00042583"/>
    <w:rsid w:val="000436E6"/>
    <w:rsid w:val="00046883"/>
    <w:rsid w:val="000544CB"/>
    <w:rsid w:val="00063463"/>
    <w:rsid w:val="0007419E"/>
    <w:rsid w:val="0008203C"/>
    <w:rsid w:val="000A212F"/>
    <w:rsid w:val="000A6E67"/>
    <w:rsid w:val="000A75BF"/>
    <w:rsid w:val="000B118E"/>
    <w:rsid w:val="000B167B"/>
    <w:rsid w:val="000D7D9E"/>
    <w:rsid w:val="000E3D13"/>
    <w:rsid w:val="000E5A9A"/>
    <w:rsid w:val="000F0138"/>
    <w:rsid w:val="000F1938"/>
    <w:rsid w:val="000F483A"/>
    <w:rsid w:val="001056A2"/>
    <w:rsid w:val="001216D4"/>
    <w:rsid w:val="00133A12"/>
    <w:rsid w:val="00140F98"/>
    <w:rsid w:val="001415FF"/>
    <w:rsid w:val="00144950"/>
    <w:rsid w:val="001532FC"/>
    <w:rsid w:val="00154083"/>
    <w:rsid w:val="00194A4C"/>
    <w:rsid w:val="001A3B50"/>
    <w:rsid w:val="001B1FAF"/>
    <w:rsid w:val="001B56FD"/>
    <w:rsid w:val="001C38A2"/>
    <w:rsid w:val="001C4785"/>
    <w:rsid w:val="001C4FE9"/>
    <w:rsid w:val="001C7973"/>
    <w:rsid w:val="001D76EA"/>
    <w:rsid w:val="001F61F4"/>
    <w:rsid w:val="002021A6"/>
    <w:rsid w:val="00207AE4"/>
    <w:rsid w:val="00217DB8"/>
    <w:rsid w:val="00221553"/>
    <w:rsid w:val="0022423D"/>
    <w:rsid w:val="002318EA"/>
    <w:rsid w:val="0023606A"/>
    <w:rsid w:val="00236799"/>
    <w:rsid w:val="002408A3"/>
    <w:rsid w:val="00242A29"/>
    <w:rsid w:val="002434DB"/>
    <w:rsid w:val="00243DEE"/>
    <w:rsid w:val="0024409A"/>
    <w:rsid w:val="00246323"/>
    <w:rsid w:val="002515FE"/>
    <w:rsid w:val="002636D5"/>
    <w:rsid w:val="002857FC"/>
    <w:rsid w:val="002901CB"/>
    <w:rsid w:val="002926B0"/>
    <w:rsid w:val="00297018"/>
    <w:rsid w:val="002A3816"/>
    <w:rsid w:val="002B1CD7"/>
    <w:rsid w:val="002B3DF0"/>
    <w:rsid w:val="002B58D0"/>
    <w:rsid w:val="002B7F4B"/>
    <w:rsid w:val="002D1E86"/>
    <w:rsid w:val="002D2118"/>
    <w:rsid w:val="002D3121"/>
    <w:rsid w:val="002D7FBF"/>
    <w:rsid w:val="002F1C67"/>
    <w:rsid w:val="002F2B0A"/>
    <w:rsid w:val="00325144"/>
    <w:rsid w:val="0032684C"/>
    <w:rsid w:val="003310F2"/>
    <w:rsid w:val="00344DA9"/>
    <w:rsid w:val="00354F27"/>
    <w:rsid w:val="003630D9"/>
    <w:rsid w:val="00363169"/>
    <w:rsid w:val="00364572"/>
    <w:rsid w:val="0036719B"/>
    <w:rsid w:val="0037025D"/>
    <w:rsid w:val="00373AF6"/>
    <w:rsid w:val="00373BA7"/>
    <w:rsid w:val="003743D7"/>
    <w:rsid w:val="00374446"/>
    <w:rsid w:val="00375423"/>
    <w:rsid w:val="003877E1"/>
    <w:rsid w:val="00395965"/>
    <w:rsid w:val="00396D4B"/>
    <w:rsid w:val="003A01B6"/>
    <w:rsid w:val="003A6511"/>
    <w:rsid w:val="003C5144"/>
    <w:rsid w:val="003C7107"/>
    <w:rsid w:val="003E1855"/>
    <w:rsid w:val="003E2807"/>
    <w:rsid w:val="003E2D06"/>
    <w:rsid w:val="003E388A"/>
    <w:rsid w:val="003F060C"/>
    <w:rsid w:val="003F33C0"/>
    <w:rsid w:val="003F35BE"/>
    <w:rsid w:val="003F5E1A"/>
    <w:rsid w:val="00400BA8"/>
    <w:rsid w:val="00403407"/>
    <w:rsid w:val="00405CBB"/>
    <w:rsid w:val="00406D99"/>
    <w:rsid w:val="004172F7"/>
    <w:rsid w:val="00427DAA"/>
    <w:rsid w:val="00434B07"/>
    <w:rsid w:val="004351C2"/>
    <w:rsid w:val="00455288"/>
    <w:rsid w:val="00461605"/>
    <w:rsid w:val="00462198"/>
    <w:rsid w:val="00465A73"/>
    <w:rsid w:val="004726F2"/>
    <w:rsid w:val="004859EC"/>
    <w:rsid w:val="0049476E"/>
    <w:rsid w:val="00496757"/>
    <w:rsid w:val="00497941"/>
    <w:rsid w:val="004A5A02"/>
    <w:rsid w:val="004B1406"/>
    <w:rsid w:val="004B5B39"/>
    <w:rsid w:val="004B5DF1"/>
    <w:rsid w:val="004B696D"/>
    <w:rsid w:val="004C02EF"/>
    <w:rsid w:val="004D3599"/>
    <w:rsid w:val="004E482B"/>
    <w:rsid w:val="004E7B17"/>
    <w:rsid w:val="004F596D"/>
    <w:rsid w:val="005172BA"/>
    <w:rsid w:val="00523164"/>
    <w:rsid w:val="0053533D"/>
    <w:rsid w:val="00541FC5"/>
    <w:rsid w:val="00545867"/>
    <w:rsid w:val="0055572C"/>
    <w:rsid w:val="00555FE6"/>
    <w:rsid w:val="005619CD"/>
    <w:rsid w:val="00573863"/>
    <w:rsid w:val="00585108"/>
    <w:rsid w:val="005913F6"/>
    <w:rsid w:val="00591BD6"/>
    <w:rsid w:val="00594437"/>
    <w:rsid w:val="005973DD"/>
    <w:rsid w:val="005A22A9"/>
    <w:rsid w:val="005A54AD"/>
    <w:rsid w:val="005B19D8"/>
    <w:rsid w:val="005C11CB"/>
    <w:rsid w:val="005C4B5B"/>
    <w:rsid w:val="005D14FC"/>
    <w:rsid w:val="005D1F0E"/>
    <w:rsid w:val="005D5E03"/>
    <w:rsid w:val="005D7300"/>
    <w:rsid w:val="005E5AAC"/>
    <w:rsid w:val="005E7E52"/>
    <w:rsid w:val="005F109C"/>
    <w:rsid w:val="00606C3E"/>
    <w:rsid w:val="00610D2D"/>
    <w:rsid w:val="006161BD"/>
    <w:rsid w:val="00617C70"/>
    <w:rsid w:val="006256A6"/>
    <w:rsid w:val="00630611"/>
    <w:rsid w:val="00632C99"/>
    <w:rsid w:val="00634A69"/>
    <w:rsid w:val="0063727D"/>
    <w:rsid w:val="006411FB"/>
    <w:rsid w:val="00645F93"/>
    <w:rsid w:val="00665921"/>
    <w:rsid w:val="0066674E"/>
    <w:rsid w:val="0067587C"/>
    <w:rsid w:val="00681E0B"/>
    <w:rsid w:val="00696C4B"/>
    <w:rsid w:val="006A0962"/>
    <w:rsid w:val="006B23D0"/>
    <w:rsid w:val="006C63C3"/>
    <w:rsid w:val="006C7F5F"/>
    <w:rsid w:val="006D0A0F"/>
    <w:rsid w:val="006D27D9"/>
    <w:rsid w:val="006D405A"/>
    <w:rsid w:val="006D41AC"/>
    <w:rsid w:val="006D73DB"/>
    <w:rsid w:val="006E164D"/>
    <w:rsid w:val="006E3230"/>
    <w:rsid w:val="006E3F95"/>
    <w:rsid w:val="006F1EDC"/>
    <w:rsid w:val="006F39C4"/>
    <w:rsid w:val="00711F86"/>
    <w:rsid w:val="00713EB5"/>
    <w:rsid w:val="00723DE2"/>
    <w:rsid w:val="007264B6"/>
    <w:rsid w:val="00726B1B"/>
    <w:rsid w:val="00730EA3"/>
    <w:rsid w:val="00735B13"/>
    <w:rsid w:val="0074098B"/>
    <w:rsid w:val="00743C36"/>
    <w:rsid w:val="00747FFC"/>
    <w:rsid w:val="00751217"/>
    <w:rsid w:val="00760326"/>
    <w:rsid w:val="00761760"/>
    <w:rsid w:val="007621CF"/>
    <w:rsid w:val="00770C03"/>
    <w:rsid w:val="007726AB"/>
    <w:rsid w:val="00775884"/>
    <w:rsid w:val="00775EFC"/>
    <w:rsid w:val="00783594"/>
    <w:rsid w:val="0078536C"/>
    <w:rsid w:val="00793AF1"/>
    <w:rsid w:val="00796DF1"/>
    <w:rsid w:val="007A073F"/>
    <w:rsid w:val="007A2C5C"/>
    <w:rsid w:val="007B097A"/>
    <w:rsid w:val="007B18E0"/>
    <w:rsid w:val="007D11F8"/>
    <w:rsid w:val="007D4D38"/>
    <w:rsid w:val="007D7618"/>
    <w:rsid w:val="007E05FC"/>
    <w:rsid w:val="007E1CA0"/>
    <w:rsid w:val="007E2D4F"/>
    <w:rsid w:val="007E341C"/>
    <w:rsid w:val="007E6BC2"/>
    <w:rsid w:val="007F0B44"/>
    <w:rsid w:val="00803DC5"/>
    <w:rsid w:val="00814BD2"/>
    <w:rsid w:val="00823745"/>
    <w:rsid w:val="008559C0"/>
    <w:rsid w:val="00862EAD"/>
    <w:rsid w:val="00870FC9"/>
    <w:rsid w:val="00876741"/>
    <w:rsid w:val="00882771"/>
    <w:rsid w:val="00891067"/>
    <w:rsid w:val="00892DD3"/>
    <w:rsid w:val="008A4224"/>
    <w:rsid w:val="008D0051"/>
    <w:rsid w:val="008D128C"/>
    <w:rsid w:val="008E2F4B"/>
    <w:rsid w:val="008E3E53"/>
    <w:rsid w:val="008E4D04"/>
    <w:rsid w:val="008E5E1C"/>
    <w:rsid w:val="008F58D4"/>
    <w:rsid w:val="00902F56"/>
    <w:rsid w:val="00905D46"/>
    <w:rsid w:val="00911DC9"/>
    <w:rsid w:val="00913C8B"/>
    <w:rsid w:val="009249A3"/>
    <w:rsid w:val="0092753C"/>
    <w:rsid w:val="0093223E"/>
    <w:rsid w:val="009334F5"/>
    <w:rsid w:val="009377B0"/>
    <w:rsid w:val="00940C88"/>
    <w:rsid w:val="009428C3"/>
    <w:rsid w:val="00942CEA"/>
    <w:rsid w:val="00952275"/>
    <w:rsid w:val="009565B9"/>
    <w:rsid w:val="00956B5A"/>
    <w:rsid w:val="00957660"/>
    <w:rsid w:val="00961DCB"/>
    <w:rsid w:val="00967E21"/>
    <w:rsid w:val="00976263"/>
    <w:rsid w:val="009779C1"/>
    <w:rsid w:val="00980442"/>
    <w:rsid w:val="009816D9"/>
    <w:rsid w:val="0098381F"/>
    <w:rsid w:val="009859C5"/>
    <w:rsid w:val="00990987"/>
    <w:rsid w:val="00992FF9"/>
    <w:rsid w:val="00994FE1"/>
    <w:rsid w:val="0099521B"/>
    <w:rsid w:val="009B77D3"/>
    <w:rsid w:val="009B7BA0"/>
    <w:rsid w:val="009C09CB"/>
    <w:rsid w:val="009D0953"/>
    <w:rsid w:val="009D2131"/>
    <w:rsid w:val="009F0837"/>
    <w:rsid w:val="009F2302"/>
    <w:rsid w:val="009F4504"/>
    <w:rsid w:val="00A00371"/>
    <w:rsid w:val="00A01B3F"/>
    <w:rsid w:val="00A044DB"/>
    <w:rsid w:val="00A1560E"/>
    <w:rsid w:val="00A217A1"/>
    <w:rsid w:val="00A22CFA"/>
    <w:rsid w:val="00A40826"/>
    <w:rsid w:val="00A52E22"/>
    <w:rsid w:val="00A63671"/>
    <w:rsid w:val="00A67BCA"/>
    <w:rsid w:val="00A705C9"/>
    <w:rsid w:val="00A776F2"/>
    <w:rsid w:val="00AA322C"/>
    <w:rsid w:val="00AA402E"/>
    <w:rsid w:val="00AA7F67"/>
    <w:rsid w:val="00AB62B5"/>
    <w:rsid w:val="00AC4166"/>
    <w:rsid w:val="00AC514C"/>
    <w:rsid w:val="00AC6592"/>
    <w:rsid w:val="00AD137A"/>
    <w:rsid w:val="00AD1604"/>
    <w:rsid w:val="00AD7EA2"/>
    <w:rsid w:val="00AE0A1A"/>
    <w:rsid w:val="00AF1CC9"/>
    <w:rsid w:val="00AF23A2"/>
    <w:rsid w:val="00B03ACE"/>
    <w:rsid w:val="00B04CE9"/>
    <w:rsid w:val="00B10879"/>
    <w:rsid w:val="00B142EB"/>
    <w:rsid w:val="00B14A9F"/>
    <w:rsid w:val="00B22955"/>
    <w:rsid w:val="00B24662"/>
    <w:rsid w:val="00B33E9B"/>
    <w:rsid w:val="00B3495D"/>
    <w:rsid w:val="00B36DF3"/>
    <w:rsid w:val="00B41A04"/>
    <w:rsid w:val="00B441D5"/>
    <w:rsid w:val="00B452F1"/>
    <w:rsid w:val="00B47E0F"/>
    <w:rsid w:val="00B5703E"/>
    <w:rsid w:val="00B65088"/>
    <w:rsid w:val="00B764A1"/>
    <w:rsid w:val="00B801EE"/>
    <w:rsid w:val="00B912AD"/>
    <w:rsid w:val="00BB2191"/>
    <w:rsid w:val="00BB7152"/>
    <w:rsid w:val="00BC33D8"/>
    <w:rsid w:val="00BC46D6"/>
    <w:rsid w:val="00BC5CE3"/>
    <w:rsid w:val="00BC63F8"/>
    <w:rsid w:val="00BE00F5"/>
    <w:rsid w:val="00BF02F3"/>
    <w:rsid w:val="00C070F7"/>
    <w:rsid w:val="00C23774"/>
    <w:rsid w:val="00C30FF4"/>
    <w:rsid w:val="00C37255"/>
    <w:rsid w:val="00C422B9"/>
    <w:rsid w:val="00C63420"/>
    <w:rsid w:val="00C7439B"/>
    <w:rsid w:val="00C76AAF"/>
    <w:rsid w:val="00C91E5F"/>
    <w:rsid w:val="00C9484D"/>
    <w:rsid w:val="00CA07E0"/>
    <w:rsid w:val="00CA41A6"/>
    <w:rsid w:val="00CA7C87"/>
    <w:rsid w:val="00CB0AA3"/>
    <w:rsid w:val="00CB3F98"/>
    <w:rsid w:val="00CB5C6D"/>
    <w:rsid w:val="00CC3994"/>
    <w:rsid w:val="00CC44C1"/>
    <w:rsid w:val="00CC781B"/>
    <w:rsid w:val="00CD03C6"/>
    <w:rsid w:val="00CD4E87"/>
    <w:rsid w:val="00CE0996"/>
    <w:rsid w:val="00CE3F6D"/>
    <w:rsid w:val="00CE6564"/>
    <w:rsid w:val="00CF4686"/>
    <w:rsid w:val="00CF5F5C"/>
    <w:rsid w:val="00D12D6D"/>
    <w:rsid w:val="00D22A30"/>
    <w:rsid w:val="00D31928"/>
    <w:rsid w:val="00D34AD2"/>
    <w:rsid w:val="00D44719"/>
    <w:rsid w:val="00D4666E"/>
    <w:rsid w:val="00D47264"/>
    <w:rsid w:val="00D55F67"/>
    <w:rsid w:val="00D679DE"/>
    <w:rsid w:val="00D73088"/>
    <w:rsid w:val="00D866BE"/>
    <w:rsid w:val="00D90416"/>
    <w:rsid w:val="00D95A76"/>
    <w:rsid w:val="00D977F7"/>
    <w:rsid w:val="00DB2915"/>
    <w:rsid w:val="00DB2AA0"/>
    <w:rsid w:val="00DB3CC3"/>
    <w:rsid w:val="00DD1ED0"/>
    <w:rsid w:val="00DD55AC"/>
    <w:rsid w:val="00DE7226"/>
    <w:rsid w:val="00DF0143"/>
    <w:rsid w:val="00DF1895"/>
    <w:rsid w:val="00DF2D47"/>
    <w:rsid w:val="00DF5072"/>
    <w:rsid w:val="00E01816"/>
    <w:rsid w:val="00E02E67"/>
    <w:rsid w:val="00E139C2"/>
    <w:rsid w:val="00E232B4"/>
    <w:rsid w:val="00E41E33"/>
    <w:rsid w:val="00E55585"/>
    <w:rsid w:val="00E70DDD"/>
    <w:rsid w:val="00E83F2D"/>
    <w:rsid w:val="00E84A41"/>
    <w:rsid w:val="00E87F80"/>
    <w:rsid w:val="00E9517B"/>
    <w:rsid w:val="00EA7B1D"/>
    <w:rsid w:val="00EC03BE"/>
    <w:rsid w:val="00EC36EF"/>
    <w:rsid w:val="00ED1E73"/>
    <w:rsid w:val="00EE4E9F"/>
    <w:rsid w:val="00EF34C5"/>
    <w:rsid w:val="00F0117A"/>
    <w:rsid w:val="00F06390"/>
    <w:rsid w:val="00F17346"/>
    <w:rsid w:val="00F20F2A"/>
    <w:rsid w:val="00F24AAB"/>
    <w:rsid w:val="00F51983"/>
    <w:rsid w:val="00F623AA"/>
    <w:rsid w:val="00F63FB7"/>
    <w:rsid w:val="00F7612F"/>
    <w:rsid w:val="00F806E9"/>
    <w:rsid w:val="00F814B1"/>
    <w:rsid w:val="00F91F5F"/>
    <w:rsid w:val="00FA04A4"/>
    <w:rsid w:val="00FB1E54"/>
    <w:rsid w:val="00FB5140"/>
    <w:rsid w:val="00FC1BAF"/>
    <w:rsid w:val="00FC252B"/>
    <w:rsid w:val="00FC4F62"/>
    <w:rsid w:val="00FE2ED8"/>
    <w:rsid w:val="00FE3C34"/>
    <w:rsid w:val="00FF20FE"/>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A9A5E85"/>
  <w15:docId w15:val="{1FFA6EEA-FEC4-40C8-9BAF-1A125C5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F06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6FD"/>
    <w:pPr>
      <w:tabs>
        <w:tab w:val="center" w:pos="4320"/>
        <w:tab w:val="right" w:pos="8640"/>
      </w:tabs>
    </w:pPr>
  </w:style>
  <w:style w:type="character" w:customStyle="1" w:styleId="HeaderChar">
    <w:name w:val="Header Char"/>
    <w:basedOn w:val="DefaultParagraphFont"/>
    <w:link w:val="Header"/>
    <w:uiPriority w:val="99"/>
    <w:rsid w:val="001B56FD"/>
    <w:rPr>
      <w:lang w:val="en-AU"/>
    </w:rPr>
  </w:style>
  <w:style w:type="paragraph" w:styleId="Footer">
    <w:name w:val="footer"/>
    <w:basedOn w:val="Normal"/>
    <w:link w:val="FooterChar"/>
    <w:uiPriority w:val="99"/>
    <w:unhideWhenUsed/>
    <w:rsid w:val="001B56FD"/>
    <w:pPr>
      <w:tabs>
        <w:tab w:val="center" w:pos="4320"/>
        <w:tab w:val="right" w:pos="8640"/>
      </w:tabs>
    </w:pPr>
  </w:style>
  <w:style w:type="character" w:customStyle="1" w:styleId="FooterChar">
    <w:name w:val="Footer Char"/>
    <w:basedOn w:val="DefaultParagraphFont"/>
    <w:link w:val="Footer"/>
    <w:uiPriority w:val="99"/>
    <w:rsid w:val="001B56FD"/>
    <w:rPr>
      <w:lang w:val="en-AU"/>
    </w:rPr>
  </w:style>
  <w:style w:type="paragraph" w:styleId="BalloonText">
    <w:name w:val="Balloon Text"/>
    <w:basedOn w:val="Normal"/>
    <w:link w:val="BalloonTextChar"/>
    <w:uiPriority w:val="99"/>
    <w:semiHidden/>
    <w:unhideWhenUsed/>
    <w:rsid w:val="001B5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6FD"/>
    <w:rPr>
      <w:rFonts w:ascii="Lucida Grande" w:hAnsi="Lucida Grande" w:cs="Lucida Grande"/>
      <w:sz w:val="18"/>
      <w:szCs w:val="18"/>
      <w:lang w:val="en-AU"/>
    </w:rPr>
  </w:style>
  <w:style w:type="character" w:styleId="PageNumber">
    <w:name w:val="page number"/>
    <w:basedOn w:val="DefaultParagraphFont"/>
    <w:uiPriority w:val="99"/>
    <w:semiHidden/>
    <w:unhideWhenUsed/>
    <w:rsid w:val="004B696D"/>
  </w:style>
  <w:style w:type="paragraph" w:styleId="ListParagraph">
    <w:name w:val="List Paragraph"/>
    <w:basedOn w:val="Normal"/>
    <w:uiPriority w:val="34"/>
    <w:qFormat/>
    <w:rsid w:val="003A01B6"/>
    <w:pPr>
      <w:ind w:left="720"/>
      <w:contextualSpacing/>
    </w:pPr>
  </w:style>
  <w:style w:type="paragraph" w:customStyle="1" w:styleId="Body">
    <w:name w:val="Body"/>
    <w:basedOn w:val="Normal"/>
    <w:link w:val="BodyChar"/>
    <w:autoRedefine/>
    <w:rsid w:val="00DD1ED0"/>
    <w:pPr>
      <w:spacing w:after="120" w:line="230" w:lineRule="exact"/>
    </w:pPr>
    <w:rPr>
      <w:rFonts w:ascii="Verdana" w:hAnsi="Verdana" w:cs="Times New Roman"/>
      <w:sz w:val="18"/>
      <w:szCs w:val="18"/>
      <w:lang w:val="en-US" w:eastAsia="en-AU"/>
    </w:rPr>
  </w:style>
  <w:style w:type="character" w:customStyle="1" w:styleId="BodyChar">
    <w:name w:val="Body Char"/>
    <w:basedOn w:val="DefaultParagraphFont"/>
    <w:link w:val="Body"/>
    <w:rsid w:val="00DD1ED0"/>
    <w:rPr>
      <w:rFonts w:ascii="Verdana" w:hAnsi="Verdana" w:cs="Times New Roman"/>
      <w:sz w:val="18"/>
      <w:szCs w:val="18"/>
      <w:lang w:eastAsia="en-AU"/>
    </w:rPr>
  </w:style>
  <w:style w:type="paragraph" w:customStyle="1" w:styleId="TableHeading">
    <w:name w:val="TableHeading"/>
    <w:basedOn w:val="Normal"/>
    <w:autoRedefine/>
    <w:rsid w:val="002B7F4B"/>
    <w:pPr>
      <w:spacing w:before="57" w:after="57" w:line="200" w:lineRule="exact"/>
    </w:pPr>
    <w:rPr>
      <w:rFonts w:ascii="Verdana" w:eastAsia="Times New Roman" w:hAnsi="Verdana" w:cs="Times New Roman"/>
      <w:b/>
      <w:color w:val="FFFFFF" w:themeColor="background1"/>
      <w:sz w:val="16"/>
      <w:szCs w:val="16"/>
      <w:lang w:val="en-US"/>
    </w:rPr>
  </w:style>
  <w:style w:type="paragraph" w:customStyle="1" w:styleId="Footnote">
    <w:name w:val="Footnote"/>
    <w:basedOn w:val="Normal"/>
    <w:qFormat/>
    <w:rsid w:val="002B7F4B"/>
    <w:pPr>
      <w:spacing w:after="57" w:line="170" w:lineRule="exact"/>
      <w:ind w:left="227" w:hanging="227"/>
    </w:pPr>
    <w:rPr>
      <w:rFonts w:ascii="Verdana" w:eastAsia="Times New Roman" w:hAnsi="Verdana" w:cs="Times New Roman"/>
      <w:color w:val="58595B"/>
      <w:sz w:val="13"/>
    </w:rPr>
  </w:style>
  <w:style w:type="paragraph" w:customStyle="1" w:styleId="Subheading1">
    <w:name w:val="Subheading 1"/>
    <w:basedOn w:val="Normal"/>
    <w:link w:val="Subheading1Char"/>
    <w:qFormat/>
    <w:rsid w:val="002B7F4B"/>
    <w:pPr>
      <w:spacing w:before="360" w:after="120" w:line="320" w:lineRule="exact"/>
    </w:pPr>
    <w:rPr>
      <w:rFonts w:ascii="Verdana" w:eastAsia="Times New Roman" w:hAnsi="Verdana" w:cs="Times New Roman"/>
      <w:color w:val="007DBA"/>
      <w:sz w:val="32"/>
    </w:rPr>
  </w:style>
  <w:style w:type="character" w:customStyle="1" w:styleId="Subheading1Char">
    <w:name w:val="Subheading 1 Char"/>
    <w:basedOn w:val="DefaultParagraphFont"/>
    <w:link w:val="Subheading1"/>
    <w:rsid w:val="002B7F4B"/>
    <w:rPr>
      <w:rFonts w:ascii="Verdana" w:eastAsia="Times New Roman" w:hAnsi="Verdana" w:cs="Times New Roman"/>
      <w:color w:val="007DBA"/>
      <w:sz w:val="32"/>
      <w:lang w:val="en-AU"/>
    </w:rPr>
  </w:style>
  <w:style w:type="paragraph" w:customStyle="1" w:styleId="Table1">
    <w:name w:val="Table 1"/>
    <w:basedOn w:val="Normal"/>
    <w:link w:val="Table1Char"/>
    <w:qFormat/>
    <w:rsid w:val="002B7F4B"/>
    <w:pPr>
      <w:spacing w:before="57" w:after="57" w:line="200" w:lineRule="exact"/>
      <w:ind w:right="-390"/>
    </w:pPr>
    <w:rPr>
      <w:rFonts w:ascii="Verdana" w:eastAsia="Times New Roman" w:hAnsi="Verdana" w:cs="Times New Roman"/>
      <w:color w:val="58595B"/>
      <w:sz w:val="18"/>
      <w:szCs w:val="16"/>
      <w:lang w:val="nl-NL"/>
    </w:rPr>
  </w:style>
  <w:style w:type="character" w:customStyle="1" w:styleId="Table1Char">
    <w:name w:val="Table 1 Char"/>
    <w:basedOn w:val="DefaultParagraphFont"/>
    <w:link w:val="Table1"/>
    <w:rsid w:val="002B7F4B"/>
    <w:rPr>
      <w:rFonts w:ascii="Verdana" w:eastAsia="Times New Roman" w:hAnsi="Verdana" w:cs="Times New Roman"/>
      <w:color w:val="58595B"/>
      <w:sz w:val="18"/>
      <w:szCs w:val="16"/>
      <w:lang w:val="nl-NL"/>
    </w:rPr>
  </w:style>
  <w:style w:type="character" w:styleId="CommentReference">
    <w:name w:val="annotation reference"/>
    <w:basedOn w:val="DefaultParagraphFont"/>
    <w:uiPriority w:val="99"/>
    <w:semiHidden/>
    <w:unhideWhenUsed/>
    <w:rsid w:val="00735B13"/>
    <w:rPr>
      <w:sz w:val="16"/>
      <w:szCs w:val="16"/>
    </w:rPr>
  </w:style>
  <w:style w:type="paragraph" w:styleId="CommentText">
    <w:name w:val="annotation text"/>
    <w:basedOn w:val="Normal"/>
    <w:link w:val="CommentTextChar"/>
    <w:uiPriority w:val="99"/>
    <w:semiHidden/>
    <w:unhideWhenUsed/>
    <w:rsid w:val="00735B13"/>
    <w:rPr>
      <w:sz w:val="20"/>
      <w:szCs w:val="20"/>
    </w:rPr>
  </w:style>
  <w:style w:type="character" w:customStyle="1" w:styleId="CommentTextChar">
    <w:name w:val="Comment Text Char"/>
    <w:basedOn w:val="DefaultParagraphFont"/>
    <w:link w:val="CommentText"/>
    <w:uiPriority w:val="99"/>
    <w:semiHidden/>
    <w:rsid w:val="00735B13"/>
    <w:rPr>
      <w:sz w:val="20"/>
      <w:szCs w:val="20"/>
      <w:lang w:val="en-AU"/>
    </w:rPr>
  </w:style>
  <w:style w:type="paragraph" w:styleId="CommentSubject">
    <w:name w:val="annotation subject"/>
    <w:basedOn w:val="CommentText"/>
    <w:next w:val="CommentText"/>
    <w:link w:val="CommentSubjectChar"/>
    <w:uiPriority w:val="99"/>
    <w:semiHidden/>
    <w:unhideWhenUsed/>
    <w:rsid w:val="00735B13"/>
    <w:rPr>
      <w:b/>
      <w:bCs/>
    </w:rPr>
  </w:style>
  <w:style w:type="character" w:customStyle="1" w:styleId="CommentSubjectChar">
    <w:name w:val="Comment Subject Char"/>
    <w:basedOn w:val="CommentTextChar"/>
    <w:link w:val="CommentSubject"/>
    <w:uiPriority w:val="99"/>
    <w:semiHidden/>
    <w:rsid w:val="00735B13"/>
    <w:rPr>
      <w:b/>
      <w:bCs/>
      <w:sz w:val="20"/>
      <w:szCs w:val="20"/>
      <w:lang w:val="en-AU"/>
    </w:rPr>
  </w:style>
  <w:style w:type="paragraph" w:styleId="Revision">
    <w:name w:val="Revision"/>
    <w:hidden/>
    <w:uiPriority w:val="99"/>
    <w:semiHidden/>
    <w:rsid w:val="002B58D0"/>
    <w:rPr>
      <w:lang w:val="en-AU"/>
    </w:rPr>
  </w:style>
  <w:style w:type="paragraph" w:customStyle="1" w:styleId="IntroHeading">
    <w:name w:val="Intro Heading"/>
    <w:basedOn w:val="Heading1"/>
    <w:link w:val="IntroHeadingChar"/>
    <w:qFormat/>
    <w:rsid w:val="003F060C"/>
    <w:pPr>
      <w:spacing w:before="0" w:line="280" w:lineRule="atLeast"/>
    </w:pPr>
    <w:rPr>
      <w:rFonts w:ascii="Avenir LT 85 Heavy" w:hAnsi="Avenir LT 85 Heavy"/>
      <w:b w:val="0"/>
      <w:color w:val="000000" w:themeColor="text1"/>
      <w:sz w:val="60"/>
      <w:szCs w:val="32"/>
    </w:rPr>
  </w:style>
  <w:style w:type="character" w:customStyle="1" w:styleId="IntroHeadingChar">
    <w:name w:val="Intro Heading Char"/>
    <w:basedOn w:val="Heading1Char"/>
    <w:link w:val="IntroHeading"/>
    <w:rsid w:val="003F060C"/>
    <w:rPr>
      <w:rFonts w:ascii="Avenir LT 85 Heavy" w:eastAsiaTheme="majorEastAsia" w:hAnsi="Avenir LT 85 Heavy" w:cstheme="majorBidi"/>
      <w:b w:val="0"/>
      <w:bCs/>
      <w:color w:val="000000" w:themeColor="text1"/>
      <w:sz w:val="60"/>
      <w:szCs w:val="32"/>
      <w:lang w:val="en-AU"/>
    </w:rPr>
  </w:style>
  <w:style w:type="character" w:customStyle="1" w:styleId="Heading1Char">
    <w:name w:val="Heading 1 Char"/>
    <w:basedOn w:val="DefaultParagraphFont"/>
    <w:link w:val="Heading1"/>
    <w:uiPriority w:val="9"/>
    <w:rsid w:val="003F060C"/>
    <w:rPr>
      <w:rFonts w:asciiTheme="majorHAnsi" w:eastAsiaTheme="majorEastAsia" w:hAnsiTheme="majorHAnsi" w:cstheme="majorBidi"/>
      <w:b/>
      <w:bCs/>
      <w:color w:val="365F91" w:themeColor="accent1" w:themeShade="BF"/>
      <w:sz w:val="28"/>
      <w:szCs w:val="28"/>
      <w:lang w:val="en-AU"/>
    </w:rPr>
  </w:style>
  <w:style w:type="table" w:styleId="LightList">
    <w:name w:val="Light List"/>
    <w:basedOn w:val="TableNormal"/>
    <w:uiPriority w:val="61"/>
    <w:rsid w:val="00140F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04FE-6342-4628-9D14-57B4283D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Noble Brands Worldwide Pty Ltd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Noble</dc:creator>
  <cp:lastModifiedBy>Reception - SD Loans and Leasing</cp:lastModifiedBy>
  <cp:revision>2</cp:revision>
  <cp:lastPrinted>2017-01-06T04:06:00Z</cp:lastPrinted>
  <dcterms:created xsi:type="dcterms:W3CDTF">2017-05-03T06:41:00Z</dcterms:created>
  <dcterms:modified xsi:type="dcterms:W3CDTF">2017-05-03T06:41:00Z</dcterms:modified>
</cp:coreProperties>
</file>